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441635">
      <w:pPr>
        <w:pStyle w:val="5"/>
        <w:tabs>
          <w:tab w:val="right" w:leader="dot" w:pos="8311"/>
        </w:tabs>
        <w:spacing w:line="360" w:lineRule="auto"/>
        <w:jc w:val="center"/>
        <w:rPr>
          <w:rStyle w:val="11"/>
          <w:rFonts w:asciiTheme="minorEastAsia" w:hAnsiTheme="minorEastAsia" w:eastAsiaTheme="minorEastAsia" w:cstheme="minorEastAsia"/>
          <w:b/>
          <w:sz w:val="58"/>
          <w:szCs w:val="58"/>
        </w:rPr>
      </w:pPr>
      <w:r>
        <w:rPr>
          <w:rStyle w:val="11"/>
          <w:rFonts w:hint="eastAsia" w:asciiTheme="minorEastAsia" w:hAnsiTheme="minorEastAsia" w:eastAsiaTheme="minorEastAsia" w:cstheme="minorEastAsia"/>
          <w:b/>
          <w:sz w:val="58"/>
          <w:szCs w:val="58"/>
        </w:rPr>
        <w:t>浙江大学医学院附属邵逸夫医院</w:t>
      </w:r>
    </w:p>
    <w:p w14:paraId="7E14E45D">
      <w:pPr>
        <w:spacing w:line="360" w:lineRule="auto"/>
        <w:jc w:val="center"/>
        <w:rPr>
          <w:rStyle w:val="11"/>
          <w:rFonts w:asciiTheme="minorEastAsia" w:hAnsiTheme="minorEastAsia" w:eastAsiaTheme="minorEastAsia" w:cstheme="minorEastAsia"/>
          <w:b/>
          <w:sz w:val="58"/>
          <w:szCs w:val="58"/>
        </w:rPr>
      </w:pPr>
      <w:r>
        <w:rPr>
          <w:rStyle w:val="11"/>
          <w:rFonts w:hint="eastAsia" w:asciiTheme="minorEastAsia" w:hAnsiTheme="minorEastAsia" w:eastAsiaTheme="minorEastAsia" w:cstheme="minorEastAsia"/>
          <w:b/>
          <w:sz w:val="58"/>
          <w:szCs w:val="58"/>
        </w:rPr>
        <w:t>医学伦理委员会</w:t>
      </w:r>
    </w:p>
    <w:p w14:paraId="0289C065">
      <w:pPr>
        <w:spacing w:line="360" w:lineRule="auto"/>
        <w:jc w:val="center"/>
        <w:rPr>
          <w:rStyle w:val="11"/>
          <w:rFonts w:asciiTheme="minorEastAsia" w:hAnsiTheme="minorEastAsia" w:eastAsiaTheme="minorEastAsia" w:cstheme="minorEastAsia"/>
          <w:b/>
          <w:sz w:val="58"/>
          <w:szCs w:val="58"/>
        </w:rPr>
      </w:pPr>
    </w:p>
    <w:p w14:paraId="79A698DD">
      <w:pPr>
        <w:spacing w:line="360" w:lineRule="auto"/>
        <w:jc w:val="center"/>
        <w:rPr>
          <w:rStyle w:val="11"/>
          <w:rFonts w:asciiTheme="minorEastAsia" w:hAnsiTheme="minorEastAsia" w:eastAsiaTheme="minorEastAsia" w:cstheme="minorEastAsia"/>
          <w:b/>
          <w:sz w:val="48"/>
          <w:szCs w:val="48"/>
        </w:rPr>
      </w:pPr>
      <w:r>
        <w:rPr>
          <w:rStyle w:val="11"/>
          <w:rFonts w:hint="eastAsia" w:asciiTheme="minorEastAsia" w:hAnsiTheme="minorEastAsia" w:eastAsiaTheme="minorEastAsia" w:cstheme="minorEastAsia"/>
          <w:b/>
          <w:sz w:val="48"/>
          <w:szCs w:val="48"/>
          <w:lang w:val="en-US" w:eastAsia="zh-CN"/>
        </w:rPr>
        <w:t>6.0</w:t>
      </w:r>
      <w:r>
        <w:rPr>
          <w:rStyle w:val="11"/>
          <w:rFonts w:hint="eastAsia" w:asciiTheme="minorEastAsia" w:hAnsiTheme="minorEastAsia" w:eastAsiaTheme="minorEastAsia" w:cstheme="minorEastAsia"/>
          <w:b/>
          <w:sz w:val="48"/>
          <w:szCs w:val="48"/>
        </w:rPr>
        <w:t>版本制度、指南</w:t>
      </w:r>
      <w:bookmarkStart w:id="30" w:name="_GoBack"/>
      <w:bookmarkEnd w:id="30"/>
    </w:p>
    <w:p w14:paraId="07433CA5">
      <w:pPr>
        <w:spacing w:line="360" w:lineRule="auto"/>
        <w:jc w:val="center"/>
        <w:rPr>
          <w:rStyle w:val="11"/>
          <w:rFonts w:asciiTheme="minorEastAsia" w:hAnsiTheme="minorEastAsia" w:eastAsiaTheme="minorEastAsia" w:cstheme="minorEastAsia"/>
          <w:b/>
          <w:sz w:val="52"/>
          <w:szCs w:val="52"/>
        </w:rPr>
      </w:pPr>
      <w:r>
        <w:rPr>
          <w:rStyle w:val="11"/>
          <w:rFonts w:hint="eastAsia" w:asciiTheme="minorEastAsia" w:hAnsiTheme="minorEastAsia" w:eastAsiaTheme="minorEastAsia" w:cstheme="minorEastAsia"/>
          <w:b/>
          <w:sz w:val="52"/>
          <w:szCs w:val="52"/>
        </w:rPr>
        <w:t>汇 编</w:t>
      </w:r>
    </w:p>
    <w:p w14:paraId="397A2EC7">
      <w:pPr>
        <w:spacing w:line="480" w:lineRule="auto"/>
        <w:jc w:val="center"/>
        <w:rPr>
          <w:rStyle w:val="11"/>
          <w:rFonts w:asciiTheme="minorEastAsia" w:hAnsiTheme="minorEastAsia" w:eastAsiaTheme="minorEastAsia" w:cstheme="minorEastAsia"/>
          <w:b/>
          <w:sz w:val="52"/>
          <w:szCs w:val="52"/>
        </w:rPr>
      </w:pPr>
    </w:p>
    <w:p w14:paraId="1F6161E9">
      <w:pPr>
        <w:spacing w:line="480" w:lineRule="auto"/>
        <w:jc w:val="center"/>
        <w:rPr>
          <w:rStyle w:val="11"/>
          <w:rFonts w:asciiTheme="minorEastAsia" w:hAnsiTheme="minorEastAsia" w:eastAsiaTheme="minorEastAsia" w:cstheme="minorEastAsia"/>
          <w:b/>
          <w:sz w:val="52"/>
          <w:szCs w:val="52"/>
        </w:rPr>
      </w:pPr>
    </w:p>
    <w:p w14:paraId="75F5E469">
      <w:pPr>
        <w:spacing w:line="480" w:lineRule="auto"/>
        <w:jc w:val="center"/>
        <w:rPr>
          <w:rStyle w:val="11"/>
          <w:rFonts w:asciiTheme="minorEastAsia" w:hAnsiTheme="minorEastAsia" w:eastAsiaTheme="minorEastAsia" w:cstheme="minorEastAsia"/>
          <w:b/>
          <w:sz w:val="52"/>
          <w:szCs w:val="52"/>
        </w:rPr>
      </w:pPr>
    </w:p>
    <w:p w14:paraId="754875E5">
      <w:pPr>
        <w:spacing w:line="480" w:lineRule="auto"/>
        <w:jc w:val="center"/>
        <w:rPr>
          <w:rStyle w:val="11"/>
          <w:rFonts w:hint="default" w:asciiTheme="minorEastAsia" w:hAnsiTheme="minorEastAsia" w:eastAsiaTheme="minorEastAsia" w:cstheme="minorEastAsia"/>
          <w:b/>
          <w:sz w:val="48"/>
          <w:szCs w:val="48"/>
          <w:lang w:val="en-US" w:eastAsia="zh-CN"/>
        </w:rPr>
        <w:sectPr>
          <w:headerReference r:id="rId4" w:type="default"/>
          <w:pgSz w:w="11905" w:h="16837"/>
          <w:pgMar w:top="1440" w:right="1797" w:bottom="1440" w:left="1797" w:header="720" w:footer="720" w:gutter="0"/>
          <w:pgNumType w:fmt="numberInDash" w:chapStyle="1"/>
          <w:cols w:space="60" w:num="1"/>
          <w:docGrid w:type="lines" w:linePitch="348" w:charSpace="0"/>
        </w:sectPr>
      </w:pPr>
      <w:r>
        <w:rPr>
          <w:rStyle w:val="11"/>
          <w:rFonts w:hint="eastAsia" w:asciiTheme="minorEastAsia" w:hAnsiTheme="minorEastAsia" w:eastAsiaTheme="minorEastAsia" w:cstheme="minorEastAsia"/>
          <w:b/>
          <w:sz w:val="48"/>
          <w:szCs w:val="48"/>
        </w:rPr>
        <w:t>202</w:t>
      </w:r>
      <w:r>
        <w:rPr>
          <w:rStyle w:val="11"/>
          <w:rFonts w:hint="eastAsia" w:asciiTheme="minorEastAsia" w:hAnsiTheme="minorEastAsia" w:eastAsiaTheme="minorEastAsia" w:cstheme="minorEastAsia"/>
          <w:b/>
          <w:sz w:val="48"/>
          <w:szCs w:val="48"/>
          <w:lang w:val="en-US" w:eastAsia="zh-CN"/>
        </w:rPr>
        <w:t>6.09.01</w:t>
      </w:r>
    </w:p>
    <w:p w14:paraId="77DFC5CD">
      <w:pPr>
        <w:pStyle w:val="5"/>
        <w:tabs>
          <w:tab w:val="right" w:leader="dot" w:pos="8311"/>
        </w:tabs>
        <w:jc w:val="center"/>
        <w:rPr>
          <w:rStyle w:val="11"/>
          <w:rFonts w:asciiTheme="minorEastAsia" w:hAnsiTheme="minorEastAsia" w:eastAsiaTheme="minorEastAsia" w:cstheme="minorEastAsia"/>
          <w:b/>
          <w:sz w:val="32"/>
          <w:szCs w:val="32"/>
          <w:lang w:val="zh-CN"/>
        </w:rPr>
      </w:pPr>
      <w:r>
        <w:rPr>
          <w:rStyle w:val="11"/>
          <w:rFonts w:hint="eastAsia" w:asciiTheme="minorEastAsia" w:hAnsiTheme="minorEastAsia" w:eastAsiaTheme="minorEastAsia" w:cstheme="minorEastAsia"/>
          <w:b/>
          <w:sz w:val="32"/>
          <w:szCs w:val="32"/>
          <w:lang w:val="zh-CN"/>
        </w:rPr>
        <w:t>目</w:t>
      </w:r>
      <w:r>
        <w:rPr>
          <w:rStyle w:val="11"/>
          <w:rFonts w:hint="eastAsia" w:asciiTheme="minorEastAsia" w:hAnsiTheme="minorEastAsia" w:eastAsiaTheme="minorEastAsia" w:cstheme="minorEastAsia"/>
          <w:b/>
          <w:sz w:val="32"/>
          <w:szCs w:val="32"/>
        </w:rPr>
        <w:t xml:space="preserve"> </w:t>
      </w:r>
      <w:r>
        <w:rPr>
          <w:rStyle w:val="11"/>
          <w:rFonts w:hint="eastAsia" w:asciiTheme="minorEastAsia" w:hAnsiTheme="minorEastAsia" w:eastAsiaTheme="minorEastAsia" w:cstheme="minorEastAsia"/>
          <w:b/>
          <w:sz w:val="32"/>
          <w:szCs w:val="32"/>
          <w:lang w:val="zh-CN"/>
        </w:rPr>
        <w:t>录</w:t>
      </w:r>
    </w:p>
    <w:p w14:paraId="59956739">
      <w:pPr>
        <w:pStyle w:val="5"/>
        <w:tabs>
          <w:tab w:val="right" w:leader="dot" w:pos="8311"/>
        </w:tabs>
      </w:pPr>
      <w:r>
        <w:rPr>
          <w:rStyle w:val="11"/>
          <w:rFonts w:hint="eastAsia" w:asciiTheme="minorEastAsia" w:eastAsiaTheme="minorEastAsia" w:cstheme="minorEastAsia"/>
          <w:sz w:val="21"/>
          <w:szCs w:val="21"/>
        </w:rPr>
        <w:fldChar w:fldCharType="begin"/>
      </w:r>
      <w:r>
        <w:rPr>
          <w:rStyle w:val="11"/>
          <w:rFonts w:hint="eastAsia" w:asciiTheme="minorEastAsia" w:hAnsiTheme="minorEastAsia" w:eastAsiaTheme="minorEastAsia" w:cstheme="minorEastAsia"/>
          <w:bCs/>
          <w:sz w:val="21"/>
          <w:szCs w:val="21"/>
          <w:lang w:val="zh-CN"/>
        </w:rPr>
        <w:instrText xml:space="preserve">TOC \o "1-1" \h \u </w:instrText>
      </w:r>
      <w:r>
        <w:rPr>
          <w:rStyle w:val="11"/>
          <w:rFonts w:hint="eastAsia" w:asciiTheme="minorEastAsia" w:eastAsiaTheme="minorEastAsia" w:cstheme="minorEastAsia"/>
          <w:sz w:val="21"/>
          <w:szCs w:val="21"/>
        </w:rPr>
        <w:fldChar w:fldCharType="separate"/>
      </w:r>
      <w:r>
        <w:rPr>
          <w:rFonts w:hint="eastAsia" w:asciiTheme="minorEastAsia" w:eastAsiaTheme="minorEastAsia" w:cstheme="minorEastAsia"/>
          <w:szCs w:val="21"/>
        </w:rPr>
        <w:fldChar w:fldCharType="begin"/>
      </w:r>
      <w:r>
        <w:rPr>
          <w:rFonts w:hint="eastAsia" w:asciiTheme="minorEastAsia" w:eastAsiaTheme="minorEastAsia" w:cstheme="minorEastAsia"/>
          <w:szCs w:val="21"/>
        </w:rPr>
        <w:instrText xml:space="preserve"> HYPERLINK \l _Toc7241 </w:instrText>
      </w:r>
      <w:r>
        <w:rPr>
          <w:rFonts w:hint="eastAsia" w:asciiTheme="minorEastAsia" w:eastAsiaTheme="minorEastAsia" w:cstheme="minorEastAsia"/>
          <w:szCs w:val="21"/>
        </w:rPr>
        <w:fldChar w:fldCharType="separate"/>
      </w:r>
      <w:r>
        <w:rPr>
          <w:rFonts w:hint="eastAsia"/>
          <w:lang w:val="zh-CN"/>
        </w:rPr>
        <w:t>伦理委员会章程</w:t>
      </w:r>
      <w:r>
        <w:tab/>
      </w:r>
      <w:r>
        <w:fldChar w:fldCharType="begin"/>
      </w:r>
      <w:r>
        <w:instrText xml:space="preserve"> PAGEREF _Toc7241 \h </w:instrText>
      </w:r>
      <w:r>
        <w:fldChar w:fldCharType="separate"/>
      </w:r>
      <w:r>
        <w:t>- 5 -</w:t>
      </w:r>
      <w:r>
        <w:fldChar w:fldCharType="end"/>
      </w:r>
      <w:r>
        <w:rPr>
          <w:rFonts w:hint="eastAsia" w:asciiTheme="minorEastAsia" w:eastAsiaTheme="minorEastAsia" w:cstheme="minorEastAsia"/>
          <w:szCs w:val="21"/>
        </w:rPr>
        <w:fldChar w:fldCharType="end"/>
      </w:r>
    </w:p>
    <w:p w14:paraId="387868BE">
      <w:pPr>
        <w:pStyle w:val="5"/>
        <w:tabs>
          <w:tab w:val="right" w:leader="dot" w:pos="8311"/>
        </w:tabs>
      </w:pPr>
      <w:r>
        <w:rPr>
          <w:rFonts w:hint="eastAsia" w:asciiTheme="minorEastAsia" w:hAnsiTheme="minorEastAsia" w:eastAsiaTheme="minorEastAsia" w:cstheme="minorEastAsia"/>
          <w:bCs/>
          <w:szCs w:val="21"/>
          <w:lang w:val="zh-CN"/>
        </w:rPr>
        <w:fldChar w:fldCharType="begin"/>
      </w:r>
      <w:r>
        <w:rPr>
          <w:rFonts w:hint="eastAsia" w:asciiTheme="minorEastAsia" w:hAnsiTheme="minorEastAsia" w:eastAsiaTheme="minorEastAsia" w:cstheme="minorEastAsia"/>
          <w:bCs/>
          <w:szCs w:val="21"/>
          <w:lang w:val="zh-CN"/>
        </w:rPr>
        <w:instrText xml:space="preserve"> HYPERLINK \l _Toc13568 </w:instrText>
      </w:r>
      <w:r>
        <w:rPr>
          <w:rFonts w:hint="eastAsia" w:asciiTheme="minorEastAsia" w:hAnsiTheme="minorEastAsia" w:eastAsiaTheme="minorEastAsia" w:cstheme="minorEastAsia"/>
          <w:bCs/>
          <w:szCs w:val="21"/>
          <w:lang w:val="zh-CN"/>
        </w:rPr>
        <w:fldChar w:fldCharType="separate"/>
      </w:r>
      <w:r>
        <w:rPr>
          <w:rFonts w:hint="eastAsia"/>
        </w:rPr>
        <w:t>利益冲突及伦理审核回避政策</w:t>
      </w:r>
      <w:r>
        <w:tab/>
      </w:r>
      <w:r>
        <w:fldChar w:fldCharType="begin"/>
      </w:r>
      <w:r>
        <w:instrText xml:space="preserve"> PAGEREF _Toc13568 \h </w:instrText>
      </w:r>
      <w:r>
        <w:fldChar w:fldCharType="separate"/>
      </w:r>
      <w:r>
        <w:t>- 8 -</w:t>
      </w:r>
      <w:r>
        <w:fldChar w:fldCharType="end"/>
      </w:r>
      <w:r>
        <w:rPr>
          <w:rFonts w:hint="eastAsia" w:asciiTheme="minorEastAsia" w:hAnsiTheme="minorEastAsia" w:eastAsiaTheme="minorEastAsia" w:cstheme="minorEastAsia"/>
          <w:bCs/>
          <w:szCs w:val="21"/>
          <w:lang w:val="zh-CN"/>
        </w:rPr>
        <w:fldChar w:fldCharType="end"/>
      </w:r>
    </w:p>
    <w:p w14:paraId="2365ECE7">
      <w:pPr>
        <w:pStyle w:val="5"/>
        <w:tabs>
          <w:tab w:val="right" w:leader="dot" w:pos="8311"/>
        </w:tabs>
      </w:pPr>
      <w:r>
        <w:rPr>
          <w:rFonts w:hint="eastAsia" w:asciiTheme="minorEastAsia" w:hAnsiTheme="minorEastAsia" w:eastAsiaTheme="minorEastAsia" w:cstheme="minorEastAsia"/>
          <w:bCs/>
          <w:szCs w:val="21"/>
          <w:lang w:val="zh-CN"/>
        </w:rPr>
        <w:fldChar w:fldCharType="begin"/>
      </w:r>
      <w:r>
        <w:rPr>
          <w:rFonts w:hint="eastAsia" w:asciiTheme="minorEastAsia" w:hAnsiTheme="minorEastAsia" w:eastAsiaTheme="minorEastAsia" w:cstheme="minorEastAsia"/>
          <w:bCs/>
          <w:szCs w:val="21"/>
          <w:lang w:val="zh-CN"/>
        </w:rPr>
        <w:instrText xml:space="preserve"> HYPERLINK \l _Toc4921 </w:instrText>
      </w:r>
      <w:r>
        <w:rPr>
          <w:rFonts w:hint="eastAsia" w:asciiTheme="minorEastAsia" w:hAnsiTheme="minorEastAsia" w:eastAsiaTheme="minorEastAsia" w:cstheme="minorEastAsia"/>
          <w:bCs/>
          <w:szCs w:val="21"/>
          <w:lang w:val="zh-CN"/>
        </w:rPr>
        <w:fldChar w:fldCharType="separate"/>
      </w:r>
      <w:r>
        <w:rPr>
          <w:rFonts w:hint="eastAsia"/>
        </w:rPr>
        <w:t>岗位职责</w:t>
      </w:r>
      <w:r>
        <w:tab/>
      </w:r>
      <w:r>
        <w:fldChar w:fldCharType="begin"/>
      </w:r>
      <w:r>
        <w:instrText xml:space="preserve"> PAGEREF _Toc4921 \h </w:instrText>
      </w:r>
      <w:r>
        <w:fldChar w:fldCharType="separate"/>
      </w:r>
      <w:r>
        <w:t>- 10 -</w:t>
      </w:r>
      <w:r>
        <w:fldChar w:fldCharType="end"/>
      </w:r>
      <w:r>
        <w:rPr>
          <w:rFonts w:hint="eastAsia" w:asciiTheme="minorEastAsia" w:hAnsiTheme="minorEastAsia" w:eastAsiaTheme="minorEastAsia" w:cstheme="minorEastAsia"/>
          <w:bCs/>
          <w:szCs w:val="21"/>
          <w:lang w:val="zh-CN"/>
        </w:rPr>
        <w:fldChar w:fldCharType="end"/>
      </w:r>
    </w:p>
    <w:p w14:paraId="058BDBD3">
      <w:pPr>
        <w:pStyle w:val="5"/>
        <w:tabs>
          <w:tab w:val="right" w:leader="dot" w:pos="8311"/>
        </w:tabs>
      </w:pPr>
      <w:r>
        <w:rPr>
          <w:rFonts w:hint="eastAsia" w:asciiTheme="minorEastAsia" w:hAnsiTheme="minorEastAsia" w:eastAsiaTheme="minorEastAsia" w:cstheme="minorEastAsia"/>
          <w:bCs/>
          <w:szCs w:val="21"/>
          <w:lang w:val="zh-CN"/>
        </w:rPr>
        <w:fldChar w:fldCharType="begin"/>
      </w:r>
      <w:r>
        <w:rPr>
          <w:rFonts w:hint="eastAsia" w:asciiTheme="minorEastAsia" w:hAnsiTheme="minorEastAsia" w:eastAsiaTheme="minorEastAsia" w:cstheme="minorEastAsia"/>
          <w:bCs/>
          <w:szCs w:val="21"/>
          <w:lang w:val="zh-CN"/>
        </w:rPr>
        <w:instrText xml:space="preserve"> HYPERLINK \l _Toc9886 </w:instrText>
      </w:r>
      <w:r>
        <w:rPr>
          <w:rFonts w:hint="eastAsia" w:asciiTheme="minorEastAsia" w:hAnsiTheme="minorEastAsia" w:eastAsiaTheme="minorEastAsia" w:cstheme="minorEastAsia"/>
          <w:bCs/>
          <w:szCs w:val="21"/>
          <w:lang w:val="zh-CN"/>
        </w:rPr>
        <w:fldChar w:fldCharType="separate"/>
      </w:r>
      <w:r>
        <w:rPr>
          <w:rFonts w:hint="eastAsia"/>
        </w:rPr>
        <w:t>伦理委员会财务管理制度</w:t>
      </w:r>
      <w:r>
        <w:tab/>
      </w:r>
      <w:r>
        <w:fldChar w:fldCharType="begin"/>
      </w:r>
      <w:r>
        <w:instrText xml:space="preserve"> PAGEREF _Toc9886 \h </w:instrText>
      </w:r>
      <w:r>
        <w:fldChar w:fldCharType="separate"/>
      </w:r>
      <w:r>
        <w:t>- 12 -</w:t>
      </w:r>
      <w:r>
        <w:fldChar w:fldCharType="end"/>
      </w:r>
      <w:r>
        <w:rPr>
          <w:rFonts w:hint="eastAsia" w:asciiTheme="minorEastAsia" w:hAnsiTheme="minorEastAsia" w:eastAsiaTheme="minorEastAsia" w:cstheme="minorEastAsia"/>
          <w:bCs/>
          <w:szCs w:val="21"/>
          <w:lang w:val="zh-CN"/>
        </w:rPr>
        <w:fldChar w:fldCharType="end"/>
      </w:r>
    </w:p>
    <w:p w14:paraId="1E745F5E">
      <w:pPr>
        <w:pStyle w:val="5"/>
        <w:tabs>
          <w:tab w:val="right" w:leader="dot" w:pos="8311"/>
        </w:tabs>
      </w:pPr>
      <w:r>
        <w:rPr>
          <w:rFonts w:hint="eastAsia" w:asciiTheme="minorEastAsia" w:hAnsiTheme="minorEastAsia" w:eastAsiaTheme="minorEastAsia" w:cstheme="minorEastAsia"/>
          <w:bCs/>
          <w:szCs w:val="21"/>
          <w:lang w:val="zh-CN"/>
        </w:rPr>
        <w:fldChar w:fldCharType="begin"/>
      </w:r>
      <w:r>
        <w:rPr>
          <w:rFonts w:hint="eastAsia" w:asciiTheme="minorEastAsia" w:hAnsiTheme="minorEastAsia" w:eastAsiaTheme="minorEastAsia" w:cstheme="minorEastAsia"/>
          <w:bCs/>
          <w:szCs w:val="21"/>
          <w:lang w:val="zh-CN"/>
        </w:rPr>
        <w:instrText xml:space="preserve"> HYPERLINK \l _Toc11441 </w:instrText>
      </w:r>
      <w:r>
        <w:rPr>
          <w:rFonts w:hint="eastAsia" w:asciiTheme="minorEastAsia" w:hAnsiTheme="minorEastAsia" w:eastAsiaTheme="minorEastAsia" w:cstheme="minorEastAsia"/>
          <w:bCs/>
          <w:szCs w:val="21"/>
          <w:lang w:val="zh-CN"/>
        </w:rPr>
        <w:fldChar w:fldCharType="separate"/>
      </w:r>
      <w:r>
        <w:rPr>
          <w:rFonts w:hint="eastAsia"/>
          <w:lang w:val="zh-CN"/>
        </w:rPr>
        <w:t>伦理审查申请/报告指南</w:t>
      </w:r>
      <w:r>
        <w:tab/>
      </w:r>
      <w:r>
        <w:fldChar w:fldCharType="begin"/>
      </w:r>
      <w:r>
        <w:instrText xml:space="preserve"> PAGEREF _Toc11441 \h </w:instrText>
      </w:r>
      <w:r>
        <w:fldChar w:fldCharType="separate"/>
      </w:r>
      <w:r>
        <w:t>- 13 -</w:t>
      </w:r>
      <w:r>
        <w:fldChar w:fldCharType="end"/>
      </w:r>
      <w:r>
        <w:rPr>
          <w:rFonts w:hint="eastAsia" w:asciiTheme="minorEastAsia" w:hAnsiTheme="minorEastAsia" w:eastAsiaTheme="minorEastAsia" w:cstheme="minorEastAsia"/>
          <w:bCs/>
          <w:szCs w:val="21"/>
          <w:lang w:val="zh-CN"/>
        </w:rPr>
        <w:fldChar w:fldCharType="end"/>
      </w:r>
    </w:p>
    <w:p w14:paraId="029B699F">
      <w:pPr>
        <w:pStyle w:val="5"/>
        <w:tabs>
          <w:tab w:val="right" w:leader="dot" w:pos="8311"/>
        </w:tabs>
      </w:pPr>
      <w:r>
        <w:rPr>
          <w:rFonts w:hint="eastAsia" w:asciiTheme="minorEastAsia" w:hAnsiTheme="minorEastAsia" w:eastAsiaTheme="minorEastAsia" w:cstheme="minorEastAsia"/>
          <w:bCs/>
          <w:szCs w:val="21"/>
          <w:lang w:val="zh-CN"/>
        </w:rPr>
        <w:fldChar w:fldCharType="begin"/>
      </w:r>
      <w:r>
        <w:rPr>
          <w:rFonts w:hint="eastAsia" w:asciiTheme="minorEastAsia" w:hAnsiTheme="minorEastAsia" w:eastAsiaTheme="minorEastAsia" w:cstheme="minorEastAsia"/>
          <w:bCs/>
          <w:szCs w:val="21"/>
          <w:lang w:val="zh-CN"/>
        </w:rPr>
        <w:instrText xml:space="preserve"> HYPERLINK \l _Toc14950 </w:instrText>
      </w:r>
      <w:r>
        <w:rPr>
          <w:rFonts w:hint="eastAsia" w:asciiTheme="minorEastAsia" w:hAnsiTheme="minorEastAsia" w:eastAsiaTheme="minorEastAsia" w:cstheme="minorEastAsia"/>
          <w:bCs/>
          <w:szCs w:val="21"/>
          <w:lang w:val="zh-CN"/>
        </w:rPr>
        <w:fldChar w:fldCharType="separate"/>
      </w:r>
      <w:r>
        <w:rPr>
          <w:rFonts w:hint="eastAsia"/>
          <w:lang w:val="zh-CN"/>
        </w:rPr>
        <w:t>临床研究主要伦理问题的审查指南</w:t>
      </w:r>
      <w:r>
        <w:tab/>
      </w:r>
      <w:r>
        <w:fldChar w:fldCharType="begin"/>
      </w:r>
      <w:r>
        <w:instrText xml:space="preserve"> PAGEREF _Toc14950 \h </w:instrText>
      </w:r>
      <w:r>
        <w:fldChar w:fldCharType="separate"/>
      </w:r>
      <w:r>
        <w:t>- 17 -</w:t>
      </w:r>
      <w:r>
        <w:fldChar w:fldCharType="end"/>
      </w:r>
      <w:r>
        <w:rPr>
          <w:rFonts w:hint="eastAsia" w:asciiTheme="minorEastAsia" w:hAnsiTheme="minorEastAsia" w:eastAsiaTheme="minorEastAsia" w:cstheme="minorEastAsia"/>
          <w:bCs/>
          <w:szCs w:val="21"/>
          <w:lang w:val="zh-CN"/>
        </w:rPr>
        <w:fldChar w:fldCharType="end"/>
      </w:r>
    </w:p>
    <w:p w14:paraId="72E3DC24">
      <w:pPr>
        <w:pStyle w:val="12"/>
        <w:widowControl/>
        <w:spacing w:line="346" w:lineRule="exact"/>
        <w:ind w:firstLine="425"/>
        <w:rPr>
          <w:rStyle w:val="11"/>
          <w:rFonts w:asciiTheme="minorEastAsia" w:hAnsiTheme="minorEastAsia" w:eastAsiaTheme="minorEastAsia" w:cstheme="minorEastAsia"/>
          <w:bCs/>
          <w:sz w:val="21"/>
          <w:szCs w:val="21"/>
          <w:lang w:val="zh-CN"/>
        </w:rPr>
        <w:sectPr>
          <w:footerReference r:id="rId5" w:type="default"/>
          <w:pgSz w:w="11905" w:h="16837"/>
          <w:pgMar w:top="1440" w:right="1797" w:bottom="1440" w:left="1797" w:header="720" w:footer="720" w:gutter="0"/>
          <w:pgNumType w:fmt="numberInDash" w:start="1" w:chapStyle="1"/>
          <w:cols w:space="60" w:num="1"/>
          <w:docGrid w:type="lines" w:linePitch="348" w:charSpace="0"/>
        </w:sectPr>
      </w:pPr>
      <w:r>
        <w:rPr>
          <w:rFonts w:hint="eastAsia" w:asciiTheme="minorEastAsia" w:hAnsiTheme="minorEastAsia" w:eastAsiaTheme="minorEastAsia" w:cstheme="minorEastAsia"/>
          <w:bCs/>
          <w:szCs w:val="21"/>
          <w:lang w:val="zh-CN"/>
        </w:rPr>
        <w:fldChar w:fldCharType="end"/>
      </w:r>
    </w:p>
    <w:tbl>
      <w:tblPr>
        <w:tblStyle w:val="7"/>
        <w:tblW w:w="8476" w:type="dxa"/>
        <w:tblInd w:w="40" w:type="dxa"/>
        <w:tblLayout w:type="fixed"/>
        <w:tblCellMar>
          <w:top w:w="0" w:type="dxa"/>
          <w:left w:w="40" w:type="dxa"/>
          <w:bottom w:w="0" w:type="dxa"/>
          <w:right w:w="40" w:type="dxa"/>
        </w:tblCellMar>
      </w:tblPr>
      <w:tblGrid>
        <w:gridCol w:w="2340"/>
        <w:gridCol w:w="2934"/>
        <w:gridCol w:w="1241"/>
        <w:gridCol w:w="1961"/>
      </w:tblGrid>
      <w:tr w14:paraId="73381C3A">
        <w:tblPrEx>
          <w:tblCellMar>
            <w:top w:w="0" w:type="dxa"/>
            <w:left w:w="40" w:type="dxa"/>
            <w:bottom w:w="0" w:type="dxa"/>
            <w:right w:w="40" w:type="dxa"/>
          </w:tblCellMar>
        </w:tblPrEx>
        <w:trPr>
          <w:trHeight w:val="517" w:hRule="atLeast"/>
        </w:trPr>
        <w:tc>
          <w:tcPr>
            <w:tcW w:w="5274" w:type="dxa"/>
            <w:gridSpan w:val="2"/>
            <w:vMerge w:val="restart"/>
            <w:tcBorders>
              <w:top w:val="single" w:color="auto" w:sz="6" w:space="0"/>
              <w:left w:val="single" w:color="auto" w:sz="6" w:space="0"/>
              <w:right w:val="single" w:color="auto" w:sz="6" w:space="0"/>
            </w:tcBorders>
            <w:vAlign w:val="center"/>
          </w:tcPr>
          <w:p w14:paraId="2A8139C1">
            <w:pPr>
              <w:pStyle w:val="13"/>
              <w:ind w:right="900" w:firstLine="360" w:firstLineChars="150"/>
              <w:jc w:val="center"/>
              <w:rPr>
                <w:rStyle w:val="14"/>
                <w:sz w:val="24"/>
                <w:szCs w:val="24"/>
                <w:lang w:val="zh-CN"/>
              </w:rPr>
            </w:pPr>
            <w:r>
              <w:rPr>
                <w:rStyle w:val="14"/>
                <w:rFonts w:hint="eastAsia"/>
                <w:sz w:val="24"/>
                <w:szCs w:val="24"/>
                <w:lang w:val="zh-CN"/>
              </w:rPr>
              <w:t>邵逸夫医院医学伦理委员会</w:t>
            </w:r>
            <w:r>
              <w:rPr>
                <w:rStyle w:val="14"/>
                <w:rFonts w:hint="eastAsia"/>
                <w:sz w:val="24"/>
                <w:szCs w:val="24"/>
              </w:rPr>
              <w:t>-</w:t>
            </w:r>
            <w:r>
              <w:rPr>
                <w:rStyle w:val="14"/>
                <w:rFonts w:hint="eastAsia"/>
                <w:sz w:val="24"/>
                <w:szCs w:val="24"/>
                <w:lang w:val="zh-CN"/>
              </w:rPr>
              <w:t>制度</w:t>
            </w:r>
          </w:p>
        </w:tc>
        <w:tc>
          <w:tcPr>
            <w:tcW w:w="1241" w:type="dxa"/>
            <w:tcBorders>
              <w:top w:val="single" w:color="auto" w:sz="6" w:space="0"/>
              <w:left w:val="single" w:color="auto" w:sz="6" w:space="0"/>
              <w:bottom w:val="nil"/>
              <w:right w:val="single" w:color="auto" w:sz="6" w:space="0"/>
            </w:tcBorders>
            <w:vAlign w:val="center"/>
          </w:tcPr>
          <w:p w14:paraId="3A917183">
            <w:pPr>
              <w:pStyle w:val="13"/>
              <w:jc w:val="center"/>
              <w:rPr>
                <w:rStyle w:val="14"/>
                <w:sz w:val="20"/>
                <w:szCs w:val="20"/>
                <w:lang w:val="zh-CN"/>
              </w:rPr>
            </w:pPr>
            <w:r>
              <w:rPr>
                <w:rStyle w:val="14"/>
                <w:rFonts w:hint="eastAsia"/>
                <w:sz w:val="20"/>
                <w:szCs w:val="20"/>
                <w:lang w:val="zh-CN"/>
              </w:rPr>
              <w:t>文件编号</w:t>
            </w:r>
          </w:p>
        </w:tc>
        <w:tc>
          <w:tcPr>
            <w:tcW w:w="1961" w:type="dxa"/>
            <w:tcBorders>
              <w:top w:val="single" w:color="auto" w:sz="6" w:space="0"/>
              <w:left w:val="single" w:color="auto" w:sz="6" w:space="0"/>
              <w:right w:val="single" w:color="auto" w:sz="6" w:space="0"/>
            </w:tcBorders>
            <w:vAlign w:val="center"/>
          </w:tcPr>
          <w:p w14:paraId="78BC849B">
            <w:pPr>
              <w:pStyle w:val="15"/>
              <w:jc w:val="center"/>
              <w:rPr>
                <w:sz w:val="20"/>
                <w:szCs w:val="20"/>
              </w:rPr>
            </w:pPr>
            <w:r>
              <w:rPr>
                <w:rFonts w:hint="eastAsia"/>
                <w:sz w:val="20"/>
                <w:szCs w:val="20"/>
              </w:rPr>
              <w:t>IRB-ZZ-01/</w:t>
            </w:r>
            <w:r>
              <w:rPr>
                <w:color w:val="000000" w:themeColor="text1"/>
                <w:sz w:val="20"/>
                <w:szCs w:val="20"/>
                <w14:textFill>
                  <w14:solidFill>
                    <w14:schemeClr w14:val="tx1"/>
                  </w14:solidFill>
                </w14:textFill>
              </w:rPr>
              <w:t>6.0</w:t>
            </w:r>
          </w:p>
        </w:tc>
      </w:tr>
      <w:tr w14:paraId="460E70DB">
        <w:tblPrEx>
          <w:tblCellMar>
            <w:top w:w="0" w:type="dxa"/>
            <w:left w:w="40" w:type="dxa"/>
            <w:bottom w:w="0" w:type="dxa"/>
            <w:right w:w="40" w:type="dxa"/>
          </w:tblCellMar>
        </w:tblPrEx>
        <w:trPr>
          <w:trHeight w:val="291" w:hRule="atLeast"/>
        </w:trPr>
        <w:tc>
          <w:tcPr>
            <w:tcW w:w="5274" w:type="dxa"/>
            <w:gridSpan w:val="2"/>
            <w:vMerge w:val="continue"/>
            <w:tcBorders>
              <w:left w:val="single" w:color="auto" w:sz="6" w:space="0"/>
              <w:bottom w:val="single" w:color="auto" w:sz="6" w:space="0"/>
              <w:right w:val="single" w:color="auto" w:sz="6" w:space="0"/>
            </w:tcBorders>
            <w:vAlign w:val="center"/>
          </w:tcPr>
          <w:p w14:paraId="4A9FC8E4">
            <w:pPr>
              <w:pStyle w:val="16"/>
              <w:jc w:val="center"/>
              <w:rPr>
                <w:sz w:val="20"/>
                <w:szCs w:val="20"/>
              </w:rPr>
            </w:pPr>
          </w:p>
        </w:tc>
        <w:tc>
          <w:tcPr>
            <w:tcW w:w="1241" w:type="dxa"/>
            <w:tcBorders>
              <w:top w:val="single" w:color="auto" w:sz="6" w:space="0"/>
              <w:left w:val="single" w:color="auto" w:sz="6" w:space="0"/>
              <w:bottom w:val="single" w:color="auto" w:sz="6" w:space="0"/>
              <w:right w:val="single" w:color="auto" w:sz="6" w:space="0"/>
            </w:tcBorders>
            <w:vAlign w:val="center"/>
          </w:tcPr>
          <w:p w14:paraId="6EEABB5A">
            <w:pPr>
              <w:pStyle w:val="13"/>
              <w:jc w:val="center"/>
              <w:rPr>
                <w:rStyle w:val="14"/>
                <w:sz w:val="20"/>
                <w:szCs w:val="20"/>
                <w:lang w:val="zh-CN"/>
              </w:rPr>
            </w:pPr>
            <w:r>
              <w:rPr>
                <w:rStyle w:val="14"/>
                <w:rFonts w:hint="eastAsia"/>
                <w:sz w:val="20"/>
                <w:szCs w:val="20"/>
                <w:lang w:val="zh-CN"/>
              </w:rPr>
              <w:t>版本号</w:t>
            </w:r>
          </w:p>
        </w:tc>
        <w:tc>
          <w:tcPr>
            <w:tcW w:w="1961" w:type="dxa"/>
            <w:tcBorders>
              <w:top w:val="single" w:color="auto" w:sz="6" w:space="0"/>
              <w:left w:val="single" w:color="auto" w:sz="6" w:space="0"/>
              <w:bottom w:val="single" w:color="auto" w:sz="6" w:space="0"/>
              <w:right w:val="single" w:color="auto" w:sz="6" w:space="0"/>
            </w:tcBorders>
            <w:vAlign w:val="center"/>
          </w:tcPr>
          <w:p w14:paraId="3E225472">
            <w:pPr>
              <w:pStyle w:val="15"/>
              <w:jc w:val="center"/>
              <w:rPr>
                <w:sz w:val="20"/>
                <w:szCs w:val="20"/>
              </w:rPr>
            </w:pPr>
            <w:r>
              <w:rPr>
                <w:sz w:val="20"/>
                <w:szCs w:val="20"/>
              </w:rPr>
              <w:t>6.0</w:t>
            </w:r>
          </w:p>
        </w:tc>
      </w:tr>
      <w:tr w14:paraId="1FC6072D">
        <w:tblPrEx>
          <w:tblCellMar>
            <w:top w:w="0" w:type="dxa"/>
            <w:left w:w="40" w:type="dxa"/>
            <w:bottom w:w="0" w:type="dxa"/>
            <w:right w:w="40" w:type="dxa"/>
          </w:tblCellMar>
        </w:tblPrEx>
        <w:trPr>
          <w:trHeight w:val="597" w:hRule="atLeast"/>
        </w:trPr>
        <w:tc>
          <w:tcPr>
            <w:tcW w:w="2340" w:type="dxa"/>
            <w:tcBorders>
              <w:top w:val="single" w:color="auto" w:sz="6" w:space="0"/>
              <w:left w:val="single" w:color="auto" w:sz="6" w:space="0"/>
              <w:bottom w:val="single" w:color="auto" w:sz="6" w:space="0"/>
              <w:right w:val="single" w:color="auto" w:sz="6" w:space="0"/>
            </w:tcBorders>
            <w:vAlign w:val="center"/>
          </w:tcPr>
          <w:p w14:paraId="330C5A6D">
            <w:pPr>
              <w:pStyle w:val="13"/>
              <w:ind w:right="437" w:firstLine="700" w:firstLineChars="350"/>
              <w:jc w:val="center"/>
              <w:rPr>
                <w:rStyle w:val="14"/>
                <w:sz w:val="20"/>
                <w:szCs w:val="20"/>
                <w:lang w:val="zh-CN"/>
              </w:rPr>
            </w:pPr>
            <w:r>
              <w:rPr>
                <w:rStyle w:val="14"/>
                <w:rFonts w:hint="eastAsia"/>
                <w:sz w:val="20"/>
                <w:szCs w:val="20"/>
                <w:lang w:val="zh-CN"/>
              </w:rPr>
              <w:t>编写者</w:t>
            </w:r>
          </w:p>
        </w:tc>
        <w:tc>
          <w:tcPr>
            <w:tcW w:w="2934" w:type="dxa"/>
            <w:tcBorders>
              <w:top w:val="single" w:color="auto" w:sz="6" w:space="0"/>
              <w:left w:val="single" w:color="auto" w:sz="6" w:space="0"/>
              <w:bottom w:val="single" w:color="auto" w:sz="6" w:space="0"/>
              <w:right w:val="single" w:color="auto" w:sz="6" w:space="0"/>
            </w:tcBorders>
            <w:vAlign w:val="center"/>
          </w:tcPr>
          <w:p w14:paraId="7BF5CB68">
            <w:pPr>
              <w:pStyle w:val="16"/>
              <w:ind w:firstLine="1200" w:firstLineChars="600"/>
              <w:jc w:val="both"/>
              <w:rPr>
                <w:sz w:val="20"/>
                <w:szCs w:val="20"/>
              </w:rPr>
            </w:pPr>
            <w:r>
              <w:rPr>
                <w:rFonts w:hint="eastAsia"/>
                <w:sz w:val="20"/>
                <w:szCs w:val="20"/>
              </w:rPr>
              <w:t>许鸣、杨漾池</w:t>
            </w:r>
          </w:p>
        </w:tc>
        <w:tc>
          <w:tcPr>
            <w:tcW w:w="1241" w:type="dxa"/>
            <w:tcBorders>
              <w:top w:val="single" w:color="auto" w:sz="6" w:space="0"/>
              <w:left w:val="single" w:color="auto" w:sz="6" w:space="0"/>
              <w:bottom w:val="single" w:color="auto" w:sz="6" w:space="0"/>
              <w:right w:val="single" w:color="auto" w:sz="6" w:space="0"/>
            </w:tcBorders>
            <w:vAlign w:val="center"/>
          </w:tcPr>
          <w:p w14:paraId="1F893D62">
            <w:pPr>
              <w:pStyle w:val="13"/>
              <w:jc w:val="center"/>
              <w:rPr>
                <w:rStyle w:val="14"/>
                <w:sz w:val="20"/>
                <w:szCs w:val="20"/>
                <w:lang w:val="zh-CN"/>
              </w:rPr>
            </w:pPr>
            <w:r>
              <w:rPr>
                <w:rFonts w:hint="eastAsia"/>
                <w:sz w:val="20"/>
                <w:szCs w:val="20"/>
                <w:lang w:val="zh-CN"/>
              </w:rPr>
              <w:t>版本日期</w:t>
            </w:r>
          </w:p>
        </w:tc>
        <w:tc>
          <w:tcPr>
            <w:tcW w:w="1961" w:type="dxa"/>
            <w:tcBorders>
              <w:top w:val="single" w:color="auto" w:sz="6" w:space="0"/>
              <w:left w:val="single" w:color="auto" w:sz="6" w:space="0"/>
              <w:bottom w:val="single" w:color="auto" w:sz="6" w:space="0"/>
              <w:right w:val="single" w:color="auto" w:sz="6" w:space="0"/>
            </w:tcBorders>
            <w:vAlign w:val="center"/>
          </w:tcPr>
          <w:p w14:paraId="6F04A1F4">
            <w:pPr>
              <w:pStyle w:val="15"/>
              <w:jc w:val="center"/>
              <w:rPr>
                <w:rStyle w:val="17"/>
                <w:rFonts w:ascii="黑体" w:hAnsi="黑体" w:eastAsia="黑体"/>
                <w:b w:val="0"/>
                <w:sz w:val="20"/>
                <w:szCs w:val="20"/>
              </w:rPr>
            </w:pPr>
            <w:r>
              <w:rPr>
                <w:rFonts w:hint="eastAsia"/>
                <w:sz w:val="20"/>
                <w:szCs w:val="20"/>
              </w:rPr>
              <w:t>202</w:t>
            </w:r>
            <w:r>
              <w:rPr>
                <w:sz w:val="20"/>
                <w:szCs w:val="20"/>
              </w:rPr>
              <w:t>6-08-15</w:t>
            </w:r>
          </w:p>
        </w:tc>
      </w:tr>
      <w:tr w14:paraId="5C65D209">
        <w:tblPrEx>
          <w:tblCellMar>
            <w:top w:w="0" w:type="dxa"/>
            <w:left w:w="40" w:type="dxa"/>
            <w:bottom w:w="0" w:type="dxa"/>
            <w:right w:w="40" w:type="dxa"/>
          </w:tblCellMar>
        </w:tblPrEx>
        <w:trPr>
          <w:trHeight w:val="604" w:hRule="atLeast"/>
        </w:trPr>
        <w:tc>
          <w:tcPr>
            <w:tcW w:w="2340" w:type="dxa"/>
            <w:tcBorders>
              <w:top w:val="single" w:color="auto" w:sz="6" w:space="0"/>
              <w:left w:val="single" w:color="auto" w:sz="6" w:space="0"/>
              <w:bottom w:val="single" w:color="auto" w:sz="6" w:space="0"/>
              <w:right w:val="single" w:color="auto" w:sz="6" w:space="0"/>
            </w:tcBorders>
            <w:vAlign w:val="center"/>
          </w:tcPr>
          <w:p w14:paraId="0B0E14CE">
            <w:pPr>
              <w:pStyle w:val="13"/>
              <w:ind w:right="435" w:firstLine="700" w:firstLineChars="350"/>
              <w:jc w:val="center"/>
              <w:rPr>
                <w:rStyle w:val="14"/>
                <w:sz w:val="20"/>
                <w:szCs w:val="20"/>
                <w:lang w:val="zh-CN"/>
              </w:rPr>
            </w:pPr>
            <w:r>
              <w:rPr>
                <w:rStyle w:val="14"/>
                <w:rFonts w:hint="eastAsia"/>
                <w:sz w:val="20"/>
                <w:szCs w:val="20"/>
                <w:lang w:val="zh-CN"/>
              </w:rPr>
              <w:t>审核者</w:t>
            </w:r>
          </w:p>
        </w:tc>
        <w:tc>
          <w:tcPr>
            <w:tcW w:w="2934" w:type="dxa"/>
            <w:tcBorders>
              <w:top w:val="single" w:color="auto" w:sz="6" w:space="0"/>
              <w:left w:val="single" w:color="auto" w:sz="6" w:space="0"/>
              <w:bottom w:val="single" w:color="auto" w:sz="6" w:space="0"/>
              <w:right w:val="single" w:color="auto" w:sz="6" w:space="0"/>
            </w:tcBorders>
            <w:vAlign w:val="center"/>
          </w:tcPr>
          <w:p w14:paraId="3640D2F1">
            <w:pPr>
              <w:pStyle w:val="16"/>
              <w:jc w:val="center"/>
              <w:rPr>
                <w:sz w:val="20"/>
                <w:szCs w:val="20"/>
              </w:rPr>
            </w:pPr>
            <w:r>
              <w:rPr>
                <w:rFonts w:hint="eastAsia"/>
                <w:sz w:val="20"/>
                <w:szCs w:val="20"/>
              </w:rPr>
              <w:t>王青青</w:t>
            </w:r>
          </w:p>
        </w:tc>
        <w:tc>
          <w:tcPr>
            <w:tcW w:w="1241" w:type="dxa"/>
            <w:tcBorders>
              <w:top w:val="single" w:color="auto" w:sz="6" w:space="0"/>
              <w:left w:val="single" w:color="auto" w:sz="6" w:space="0"/>
              <w:bottom w:val="single" w:color="auto" w:sz="6" w:space="0"/>
              <w:right w:val="single" w:color="auto" w:sz="6" w:space="0"/>
            </w:tcBorders>
            <w:vAlign w:val="center"/>
          </w:tcPr>
          <w:p w14:paraId="6FE9328D">
            <w:pPr>
              <w:pStyle w:val="13"/>
              <w:jc w:val="center"/>
              <w:rPr>
                <w:rStyle w:val="14"/>
                <w:sz w:val="20"/>
                <w:szCs w:val="20"/>
                <w:lang w:val="zh-CN"/>
              </w:rPr>
            </w:pPr>
            <w:r>
              <w:rPr>
                <w:rFonts w:hint="eastAsia"/>
                <w:sz w:val="20"/>
                <w:szCs w:val="20"/>
                <w:lang w:val="zh-CN"/>
              </w:rPr>
              <w:t>批准日期</w:t>
            </w:r>
          </w:p>
        </w:tc>
        <w:tc>
          <w:tcPr>
            <w:tcW w:w="1961" w:type="dxa"/>
            <w:tcBorders>
              <w:top w:val="single" w:color="auto" w:sz="6" w:space="0"/>
              <w:left w:val="single" w:color="auto" w:sz="6" w:space="0"/>
              <w:bottom w:val="single" w:color="auto" w:sz="6" w:space="0"/>
              <w:right w:val="single" w:color="auto" w:sz="6" w:space="0"/>
            </w:tcBorders>
            <w:vAlign w:val="center"/>
          </w:tcPr>
          <w:p w14:paraId="6045449B">
            <w:pPr>
              <w:pStyle w:val="15"/>
              <w:jc w:val="center"/>
              <w:rPr>
                <w:rStyle w:val="17"/>
                <w:rFonts w:ascii="黑体" w:hAnsi="黑体" w:eastAsia="黑体"/>
                <w:b w:val="0"/>
                <w:sz w:val="20"/>
                <w:szCs w:val="20"/>
              </w:rPr>
            </w:pPr>
            <w:r>
              <w:rPr>
                <w:rFonts w:hint="eastAsia"/>
                <w:sz w:val="20"/>
                <w:szCs w:val="20"/>
              </w:rPr>
              <w:t>202</w:t>
            </w:r>
            <w:r>
              <w:rPr>
                <w:sz w:val="20"/>
                <w:szCs w:val="20"/>
              </w:rPr>
              <w:t>6-08-20</w:t>
            </w:r>
          </w:p>
        </w:tc>
      </w:tr>
      <w:tr w14:paraId="2B20A7D6">
        <w:tblPrEx>
          <w:tblCellMar>
            <w:top w:w="0" w:type="dxa"/>
            <w:left w:w="40" w:type="dxa"/>
            <w:bottom w:w="0" w:type="dxa"/>
            <w:right w:w="40" w:type="dxa"/>
          </w:tblCellMar>
        </w:tblPrEx>
        <w:trPr>
          <w:trHeight w:val="612" w:hRule="atLeast"/>
        </w:trPr>
        <w:tc>
          <w:tcPr>
            <w:tcW w:w="2340" w:type="dxa"/>
            <w:tcBorders>
              <w:top w:val="single" w:color="auto" w:sz="6" w:space="0"/>
              <w:left w:val="single" w:color="auto" w:sz="6" w:space="0"/>
              <w:bottom w:val="single" w:color="auto" w:sz="6" w:space="0"/>
              <w:right w:val="single" w:color="auto" w:sz="6" w:space="0"/>
            </w:tcBorders>
            <w:vAlign w:val="center"/>
          </w:tcPr>
          <w:p w14:paraId="49379A68">
            <w:pPr>
              <w:pStyle w:val="13"/>
              <w:ind w:right="435" w:firstLine="700" w:firstLineChars="350"/>
              <w:jc w:val="center"/>
              <w:rPr>
                <w:rStyle w:val="14"/>
                <w:sz w:val="20"/>
                <w:szCs w:val="20"/>
                <w:lang w:val="zh-CN"/>
              </w:rPr>
            </w:pPr>
            <w:r>
              <w:rPr>
                <w:rStyle w:val="14"/>
                <w:rFonts w:hint="eastAsia"/>
                <w:sz w:val="20"/>
                <w:szCs w:val="20"/>
                <w:lang w:val="zh-CN"/>
              </w:rPr>
              <w:t>批准者</w:t>
            </w:r>
          </w:p>
        </w:tc>
        <w:tc>
          <w:tcPr>
            <w:tcW w:w="2934" w:type="dxa"/>
            <w:tcBorders>
              <w:top w:val="single" w:color="auto" w:sz="6" w:space="0"/>
              <w:left w:val="single" w:color="auto" w:sz="6" w:space="0"/>
              <w:bottom w:val="single" w:color="auto" w:sz="6" w:space="0"/>
              <w:right w:val="single" w:color="auto" w:sz="6" w:space="0"/>
            </w:tcBorders>
            <w:vAlign w:val="center"/>
          </w:tcPr>
          <w:p w14:paraId="752B5A46">
            <w:pPr>
              <w:pStyle w:val="16"/>
              <w:jc w:val="center"/>
              <w:rPr>
                <w:sz w:val="20"/>
                <w:szCs w:val="20"/>
              </w:rPr>
            </w:pPr>
            <w:r>
              <w:rPr>
                <w:rFonts w:hint="eastAsia"/>
                <w:sz w:val="20"/>
                <w:szCs w:val="20"/>
              </w:rPr>
              <w:t>刘利民</w:t>
            </w:r>
          </w:p>
        </w:tc>
        <w:tc>
          <w:tcPr>
            <w:tcW w:w="1241" w:type="dxa"/>
            <w:tcBorders>
              <w:top w:val="single" w:color="auto" w:sz="6" w:space="0"/>
              <w:left w:val="single" w:color="auto" w:sz="6" w:space="0"/>
              <w:bottom w:val="single" w:color="auto" w:sz="6" w:space="0"/>
              <w:right w:val="single" w:color="auto" w:sz="6" w:space="0"/>
            </w:tcBorders>
            <w:vAlign w:val="center"/>
          </w:tcPr>
          <w:p w14:paraId="1B332F1C">
            <w:pPr>
              <w:pStyle w:val="13"/>
              <w:jc w:val="center"/>
              <w:rPr>
                <w:rStyle w:val="14"/>
                <w:sz w:val="20"/>
                <w:szCs w:val="20"/>
                <w:lang w:val="zh-CN"/>
              </w:rPr>
            </w:pPr>
            <w:r>
              <w:rPr>
                <w:rFonts w:hint="eastAsia"/>
                <w:sz w:val="20"/>
                <w:szCs w:val="20"/>
                <w:lang w:val="zh-CN"/>
              </w:rPr>
              <w:t>生效日期</w:t>
            </w:r>
          </w:p>
        </w:tc>
        <w:tc>
          <w:tcPr>
            <w:tcW w:w="1961" w:type="dxa"/>
            <w:tcBorders>
              <w:top w:val="single" w:color="auto" w:sz="6" w:space="0"/>
              <w:left w:val="single" w:color="auto" w:sz="6" w:space="0"/>
              <w:bottom w:val="single" w:color="auto" w:sz="6" w:space="0"/>
              <w:right w:val="single" w:color="auto" w:sz="6" w:space="0"/>
            </w:tcBorders>
            <w:vAlign w:val="center"/>
          </w:tcPr>
          <w:p w14:paraId="15A30C6E">
            <w:pPr>
              <w:pStyle w:val="15"/>
              <w:jc w:val="center"/>
              <w:rPr>
                <w:rStyle w:val="17"/>
                <w:rFonts w:ascii="黑体" w:hAnsi="黑体" w:eastAsia="黑体"/>
                <w:b w:val="0"/>
                <w:sz w:val="20"/>
                <w:szCs w:val="20"/>
              </w:rPr>
            </w:pPr>
            <w:r>
              <w:rPr>
                <w:rFonts w:hint="eastAsia"/>
                <w:sz w:val="20"/>
                <w:szCs w:val="20"/>
              </w:rPr>
              <w:t>202</w:t>
            </w:r>
            <w:r>
              <w:rPr>
                <w:sz w:val="20"/>
                <w:szCs w:val="20"/>
              </w:rPr>
              <w:t>6-09-01</w:t>
            </w:r>
          </w:p>
        </w:tc>
      </w:tr>
    </w:tbl>
    <w:p w14:paraId="1ED38859">
      <w:pPr>
        <w:pStyle w:val="18"/>
        <w:widowControl/>
        <w:ind w:right="54"/>
        <w:jc w:val="center"/>
        <w:rPr>
          <w:rStyle w:val="19"/>
          <w:rFonts w:asciiTheme="minorEastAsia" w:hAnsiTheme="minorEastAsia" w:eastAsiaTheme="minorEastAsia" w:cstheme="minorEastAsia"/>
          <w:b w:val="0"/>
          <w:sz w:val="13"/>
          <w:szCs w:val="13"/>
          <w:lang w:val="zh-CN"/>
        </w:rPr>
      </w:pPr>
    </w:p>
    <w:p w14:paraId="34227C60">
      <w:pPr>
        <w:pStyle w:val="18"/>
        <w:widowControl/>
        <w:ind w:right="54"/>
        <w:jc w:val="center"/>
        <w:rPr>
          <w:rFonts w:asciiTheme="minorEastAsia" w:hAnsiTheme="minorEastAsia" w:eastAsiaTheme="minorEastAsia" w:cstheme="minorEastAsia"/>
          <w:bCs/>
          <w:sz w:val="22"/>
          <w:szCs w:val="20"/>
        </w:rPr>
      </w:pPr>
      <w:bookmarkStart w:id="0" w:name="_Toc7241"/>
      <w:bookmarkStart w:id="1" w:name="_Toc6492"/>
      <w:bookmarkStart w:id="2" w:name="_Toc3676"/>
      <w:bookmarkStart w:id="3" w:name="_Toc5806"/>
      <w:bookmarkStart w:id="4" w:name="_Toc32011"/>
      <w:r>
        <w:rPr>
          <w:rStyle w:val="20"/>
          <w:rFonts w:hint="eastAsia"/>
          <w:lang w:val="zh-CN"/>
        </w:rPr>
        <w:t>伦理委员会章程</w:t>
      </w:r>
      <w:bookmarkEnd w:id="0"/>
      <w:bookmarkEnd w:id="1"/>
      <w:bookmarkEnd w:id="2"/>
      <w:bookmarkEnd w:id="3"/>
      <w:bookmarkEnd w:id="4"/>
      <w:r>
        <w:rPr>
          <w:rStyle w:val="19"/>
          <w:rFonts w:hint="eastAsia" w:asciiTheme="minorEastAsia" w:hAnsiTheme="minorEastAsia" w:eastAsiaTheme="minorEastAsia" w:cstheme="minorEastAsia"/>
          <w:b w:val="0"/>
          <w:sz w:val="28"/>
          <w:szCs w:val="28"/>
          <w:lang w:val="zh-CN"/>
        </w:rPr>
        <w:t xml:space="preserve">       </w:t>
      </w:r>
    </w:p>
    <w:p w14:paraId="2A0A31A3">
      <w:pPr>
        <w:pStyle w:val="21"/>
        <w:widowControl/>
        <w:spacing w:before="178"/>
        <w:ind w:right="50"/>
        <w:jc w:val="center"/>
        <w:rPr>
          <w:rStyle w:val="22"/>
          <w:rFonts w:asciiTheme="minorEastAsia" w:hAnsiTheme="minorEastAsia" w:eastAsiaTheme="minorEastAsia" w:cstheme="minorEastAsia"/>
          <w:b w:val="0"/>
          <w:sz w:val="22"/>
          <w:szCs w:val="22"/>
          <w:lang w:val="zh-CN"/>
        </w:rPr>
      </w:pPr>
      <w:r>
        <w:rPr>
          <w:rStyle w:val="22"/>
          <w:rFonts w:hint="eastAsia" w:asciiTheme="minorEastAsia" w:hAnsiTheme="minorEastAsia" w:eastAsiaTheme="minorEastAsia" w:cstheme="minorEastAsia"/>
          <w:b w:val="0"/>
          <w:sz w:val="22"/>
          <w:szCs w:val="22"/>
          <w:lang w:val="zh-CN"/>
        </w:rPr>
        <w:t>第一章</w:t>
      </w:r>
      <w:r>
        <w:rPr>
          <w:rStyle w:val="22"/>
          <w:rFonts w:hint="eastAsia" w:asciiTheme="minorEastAsia" w:hAnsiTheme="minorEastAsia" w:eastAsiaTheme="minorEastAsia" w:cstheme="minorEastAsia"/>
          <w:b w:val="0"/>
          <w:sz w:val="22"/>
          <w:szCs w:val="22"/>
        </w:rPr>
        <w:t xml:space="preserve"> </w:t>
      </w:r>
      <w:r>
        <w:rPr>
          <w:rStyle w:val="22"/>
          <w:rFonts w:hint="eastAsia" w:asciiTheme="minorEastAsia" w:hAnsiTheme="minorEastAsia" w:eastAsiaTheme="minorEastAsia" w:cstheme="minorEastAsia"/>
          <w:b w:val="0"/>
          <w:sz w:val="22"/>
          <w:szCs w:val="22"/>
          <w:lang w:val="zh-CN"/>
        </w:rPr>
        <w:t>总 则</w:t>
      </w:r>
    </w:p>
    <w:p w14:paraId="3A86CFDF">
      <w:pPr>
        <w:pStyle w:val="23"/>
        <w:widowControl/>
        <w:spacing w:before="108" w:line="240" w:lineRule="auto"/>
        <w:ind w:right="0" w:firstLine="420" w:firstLineChars="200"/>
        <w:rPr>
          <w:rStyle w:val="11"/>
          <w:rFonts w:asciiTheme="minorEastAsia" w:hAnsiTheme="minorEastAsia" w:eastAsiaTheme="minorEastAsia" w:cstheme="minorEastAsia"/>
          <w:bCs/>
          <w:sz w:val="21"/>
          <w:szCs w:val="21"/>
          <w:lang w:val="zh-CN"/>
        </w:rPr>
      </w:pPr>
      <w:r>
        <w:rPr>
          <w:rStyle w:val="11"/>
          <w:rFonts w:hint="eastAsia" w:asciiTheme="minorEastAsia" w:hAnsiTheme="minorEastAsia" w:eastAsiaTheme="minorEastAsia" w:cstheme="minorEastAsia"/>
          <w:bCs/>
          <w:sz w:val="21"/>
          <w:szCs w:val="21"/>
          <w:lang w:val="zh-CN"/>
        </w:rPr>
        <w:t>第一条 为保护临床研究试验参与者的权益和安全，规范本伦理委员会的组织和运作，根据《涉及人的生物医学研究伦理审查办法》</w:t>
      </w:r>
      <w:r>
        <w:rPr>
          <w:rStyle w:val="11"/>
          <w:rFonts w:hint="eastAsia" w:asciiTheme="minorEastAsia" w:hAnsiTheme="minorEastAsia" w:eastAsiaTheme="minorEastAsia" w:cstheme="minorEastAsia"/>
          <w:bCs/>
          <w:spacing w:val="-20"/>
          <w:sz w:val="21"/>
          <w:szCs w:val="21"/>
          <w:lang w:val="zh-CN"/>
        </w:rPr>
        <w:t>（</w:t>
      </w:r>
      <w:r>
        <w:rPr>
          <w:rStyle w:val="22"/>
          <w:rFonts w:hint="eastAsia" w:asciiTheme="minorEastAsia" w:hAnsiTheme="minorEastAsia" w:eastAsiaTheme="minorEastAsia" w:cstheme="minorEastAsia"/>
          <w:b w:val="0"/>
          <w:sz w:val="21"/>
          <w:szCs w:val="21"/>
        </w:rPr>
        <w:t>2016</w:t>
      </w:r>
      <w:r>
        <w:rPr>
          <w:rStyle w:val="11"/>
          <w:rFonts w:hint="eastAsia" w:asciiTheme="minorEastAsia" w:hAnsiTheme="minorEastAsia" w:eastAsiaTheme="minorEastAsia" w:cstheme="minorEastAsia"/>
          <w:bCs/>
          <w:spacing w:val="-20"/>
          <w:sz w:val="21"/>
          <w:szCs w:val="21"/>
          <w:lang w:val="zh-CN"/>
        </w:rPr>
        <w:t>）</w:t>
      </w:r>
      <w:r>
        <w:rPr>
          <w:rStyle w:val="11"/>
          <w:rFonts w:hint="eastAsia" w:asciiTheme="minorEastAsia" w:hAnsiTheme="minorEastAsia" w:eastAsiaTheme="minorEastAsia" w:cstheme="minorEastAsia"/>
          <w:bCs/>
          <w:spacing w:val="-20"/>
          <w:sz w:val="21"/>
          <w:szCs w:val="21"/>
        </w:rPr>
        <w:t>，</w:t>
      </w:r>
      <w:r>
        <w:rPr>
          <w:rStyle w:val="11"/>
          <w:rFonts w:hint="eastAsia" w:asciiTheme="minorEastAsia" w:hAnsiTheme="minorEastAsia" w:eastAsiaTheme="minorEastAsia" w:cstheme="minorEastAsia"/>
          <w:bCs/>
          <w:color w:val="333333"/>
          <w:spacing w:val="-20"/>
          <w:sz w:val="21"/>
          <w:szCs w:val="21"/>
          <w:shd w:val="clear" w:color="auto" w:fill="FFFFFF"/>
        </w:rPr>
        <w:t>《涉及人的生命科学和医学研究伦理审查办法</w:t>
      </w:r>
      <w:r>
        <w:rPr>
          <w:rStyle w:val="11"/>
          <w:rFonts w:hint="eastAsia" w:asciiTheme="minorEastAsia" w:hAnsiTheme="minorEastAsia" w:eastAsiaTheme="minorEastAsia" w:cstheme="minorEastAsia"/>
          <w:bCs/>
          <w:spacing w:val="-20"/>
          <w:sz w:val="21"/>
          <w:szCs w:val="21"/>
        </w:rPr>
        <w:t>》（2023），《医疗卫生机构开展研究者发起的临床研究管理办法》（2024），《科技伦理审查办法（试行）》（2023），</w:t>
      </w:r>
      <w:r>
        <w:rPr>
          <w:rStyle w:val="11"/>
          <w:rFonts w:hint="eastAsia" w:asciiTheme="minorEastAsia" w:hAnsiTheme="minorEastAsia" w:eastAsiaTheme="minorEastAsia" w:cstheme="minorEastAsia"/>
          <w:bCs/>
          <w:sz w:val="21"/>
          <w:szCs w:val="21"/>
          <w:lang w:val="zh-CN"/>
        </w:rPr>
        <w:t>《药物临床试验质量管理规范》（</w:t>
      </w:r>
      <w:r>
        <w:rPr>
          <w:rStyle w:val="22"/>
          <w:rFonts w:hint="eastAsia" w:asciiTheme="minorEastAsia" w:hAnsiTheme="minorEastAsia" w:eastAsiaTheme="minorEastAsia" w:cstheme="minorEastAsia"/>
          <w:b w:val="0"/>
          <w:sz w:val="21"/>
          <w:szCs w:val="21"/>
        </w:rPr>
        <w:t>202</w:t>
      </w:r>
      <w:r>
        <w:rPr>
          <w:rStyle w:val="22"/>
          <w:rFonts w:asciiTheme="minorEastAsia" w:hAnsiTheme="minorEastAsia" w:eastAsiaTheme="minorEastAsia" w:cstheme="minorEastAsia"/>
          <w:b w:val="0"/>
          <w:sz w:val="21"/>
          <w:szCs w:val="21"/>
        </w:rPr>
        <w:t>6</w:t>
      </w:r>
      <w:r>
        <w:rPr>
          <w:rStyle w:val="11"/>
          <w:rFonts w:hint="eastAsia" w:asciiTheme="minorEastAsia" w:hAnsiTheme="minorEastAsia" w:eastAsiaTheme="minorEastAsia" w:cstheme="minorEastAsia"/>
          <w:bCs/>
          <w:sz w:val="21"/>
          <w:szCs w:val="21"/>
          <w:lang w:val="zh-CN"/>
        </w:rPr>
        <w:t>）、《药物临床试验伦理审查工作指导原则》（</w:t>
      </w:r>
      <w:r>
        <w:rPr>
          <w:rStyle w:val="22"/>
          <w:rFonts w:hint="eastAsia" w:asciiTheme="minorEastAsia" w:hAnsiTheme="minorEastAsia" w:eastAsiaTheme="minorEastAsia" w:cstheme="minorEastAsia"/>
          <w:b w:val="0"/>
          <w:sz w:val="21"/>
          <w:szCs w:val="21"/>
        </w:rPr>
        <w:t>2010</w:t>
      </w:r>
      <w:r>
        <w:rPr>
          <w:rStyle w:val="11"/>
          <w:rFonts w:hint="eastAsia" w:asciiTheme="minorEastAsia" w:hAnsiTheme="minorEastAsia" w:eastAsiaTheme="minorEastAsia" w:cstheme="minorEastAsia"/>
          <w:bCs/>
          <w:sz w:val="21"/>
          <w:szCs w:val="21"/>
          <w:lang w:val="zh-CN"/>
        </w:rPr>
        <w:t>）</w:t>
      </w:r>
      <w:r>
        <w:rPr>
          <w:rStyle w:val="11"/>
          <w:rFonts w:hint="eastAsia" w:asciiTheme="minorEastAsia" w:hAnsiTheme="minorEastAsia" w:eastAsiaTheme="minorEastAsia" w:cstheme="minorEastAsia"/>
          <w:bCs/>
          <w:sz w:val="21"/>
          <w:szCs w:val="21"/>
        </w:rPr>
        <w:t>和《器械临床试验质量管理规范》（2022）</w:t>
      </w:r>
      <w:r>
        <w:rPr>
          <w:rStyle w:val="11"/>
          <w:rFonts w:hint="eastAsia" w:asciiTheme="minorEastAsia" w:hAnsiTheme="minorEastAsia" w:eastAsiaTheme="minorEastAsia" w:cstheme="minorEastAsia"/>
          <w:bCs/>
          <w:spacing w:val="-20"/>
          <w:sz w:val="21"/>
          <w:szCs w:val="21"/>
          <w:lang w:val="zh-CN"/>
        </w:rPr>
        <w:t>，</w:t>
      </w:r>
      <w:r>
        <w:rPr>
          <w:rStyle w:val="11"/>
          <w:rFonts w:hint="eastAsia" w:asciiTheme="minorEastAsia" w:hAnsiTheme="minorEastAsia" w:eastAsiaTheme="minorEastAsia" w:cstheme="minorEastAsia"/>
          <w:bCs/>
          <w:sz w:val="21"/>
          <w:szCs w:val="21"/>
          <w:lang w:val="zh-CN"/>
        </w:rPr>
        <w:t>制定本章程。</w:t>
      </w:r>
    </w:p>
    <w:p w14:paraId="3C3420B9">
      <w:pPr>
        <w:pStyle w:val="12"/>
        <w:widowControl/>
        <w:spacing w:line="349" w:lineRule="exact"/>
        <w:rPr>
          <w:rStyle w:val="11"/>
          <w:rFonts w:asciiTheme="minorEastAsia" w:hAnsiTheme="minorEastAsia" w:eastAsiaTheme="minorEastAsia" w:cstheme="minorEastAsia"/>
          <w:bCs/>
          <w:sz w:val="21"/>
          <w:szCs w:val="21"/>
          <w:lang w:val="zh-CN"/>
        </w:rPr>
      </w:pPr>
      <w:r>
        <w:rPr>
          <w:rStyle w:val="11"/>
          <w:rFonts w:hint="eastAsia" w:asciiTheme="minorEastAsia" w:hAnsiTheme="minorEastAsia" w:eastAsiaTheme="minorEastAsia" w:cstheme="minorEastAsia"/>
          <w:bCs/>
          <w:sz w:val="21"/>
          <w:szCs w:val="21"/>
          <w:lang w:val="zh-CN"/>
        </w:rPr>
        <w:t>第二条 伦理委员会的宗旨是通过对临床研究项目的科学性、伦理合理性进行审查，确保试验参与者的尊严、安全和权益得到保护，促进生物医学研究达到科学和伦理的高标准，增强公众对临床研究的信任和支持。</w:t>
      </w:r>
    </w:p>
    <w:p w14:paraId="36D82F73">
      <w:pPr>
        <w:pStyle w:val="12"/>
        <w:widowControl/>
        <w:spacing w:line="349" w:lineRule="exact"/>
        <w:ind w:firstLine="414"/>
        <w:rPr>
          <w:rStyle w:val="11"/>
          <w:rFonts w:asciiTheme="minorEastAsia" w:hAnsiTheme="minorEastAsia" w:eastAsiaTheme="minorEastAsia" w:cstheme="minorEastAsia"/>
          <w:bCs/>
          <w:sz w:val="21"/>
          <w:szCs w:val="21"/>
          <w:lang w:val="zh-CN"/>
        </w:rPr>
      </w:pPr>
      <w:r>
        <w:rPr>
          <w:rStyle w:val="11"/>
          <w:rFonts w:hint="eastAsia" w:asciiTheme="minorEastAsia" w:hAnsiTheme="minorEastAsia" w:eastAsiaTheme="minorEastAsia" w:cstheme="minorEastAsia"/>
          <w:bCs/>
          <w:sz w:val="21"/>
          <w:szCs w:val="21"/>
          <w:lang w:val="zh-CN"/>
        </w:rPr>
        <w:t>第三条 伦理委员会依法在国家和所在省级食品药品监督管理局、卫生行政管理部门备案，接受政府的卫生行政管理部门、药监行政管理部门的指导和监督。</w:t>
      </w:r>
    </w:p>
    <w:p w14:paraId="1EA12B3E">
      <w:pPr>
        <w:pStyle w:val="21"/>
        <w:widowControl/>
        <w:spacing w:line="240" w:lineRule="exact"/>
        <w:ind w:right="14"/>
        <w:jc w:val="center"/>
        <w:rPr>
          <w:rFonts w:asciiTheme="minorEastAsia" w:hAnsiTheme="minorEastAsia" w:eastAsiaTheme="minorEastAsia" w:cstheme="minorEastAsia"/>
          <w:bCs/>
          <w:sz w:val="21"/>
          <w:szCs w:val="21"/>
        </w:rPr>
      </w:pPr>
    </w:p>
    <w:p w14:paraId="2804A28C">
      <w:pPr>
        <w:pStyle w:val="21"/>
        <w:widowControl/>
        <w:spacing w:before="178"/>
        <w:ind w:right="50"/>
        <w:jc w:val="center"/>
        <w:rPr>
          <w:rStyle w:val="22"/>
          <w:rFonts w:asciiTheme="minorEastAsia" w:hAnsiTheme="minorEastAsia" w:eastAsiaTheme="minorEastAsia" w:cstheme="minorEastAsia"/>
          <w:b w:val="0"/>
          <w:sz w:val="22"/>
          <w:szCs w:val="22"/>
          <w:lang w:val="zh-CN"/>
        </w:rPr>
      </w:pPr>
      <w:r>
        <w:rPr>
          <w:rStyle w:val="22"/>
          <w:rFonts w:hint="eastAsia" w:asciiTheme="minorEastAsia" w:hAnsiTheme="minorEastAsia" w:eastAsiaTheme="minorEastAsia" w:cstheme="minorEastAsia"/>
          <w:b w:val="0"/>
          <w:sz w:val="22"/>
          <w:szCs w:val="22"/>
          <w:lang w:val="zh-CN"/>
        </w:rPr>
        <w:t>第二章 组 织</w:t>
      </w:r>
    </w:p>
    <w:p w14:paraId="54DC911A">
      <w:pPr>
        <w:pStyle w:val="23"/>
        <w:widowControl/>
        <w:spacing w:before="40" w:line="346" w:lineRule="exact"/>
        <w:ind w:left="425" w:right="17"/>
        <w:rPr>
          <w:rStyle w:val="11"/>
          <w:rFonts w:asciiTheme="minorEastAsia" w:hAnsiTheme="minorEastAsia" w:eastAsiaTheme="minorEastAsia" w:cstheme="minorEastAsia"/>
          <w:bCs/>
          <w:sz w:val="21"/>
          <w:szCs w:val="21"/>
          <w:lang w:val="zh-CN"/>
        </w:rPr>
      </w:pPr>
      <w:r>
        <w:rPr>
          <w:rStyle w:val="11"/>
          <w:rFonts w:hint="eastAsia" w:asciiTheme="minorEastAsia" w:hAnsiTheme="minorEastAsia" w:eastAsiaTheme="minorEastAsia" w:cstheme="minorEastAsia"/>
          <w:bCs/>
          <w:sz w:val="21"/>
          <w:szCs w:val="21"/>
          <w:lang w:val="zh-CN"/>
        </w:rPr>
        <w:t>第四条 伦理委员会名称：浙江大学医学院附属邵逸夫医院医学伦理委员会</w:t>
      </w:r>
    </w:p>
    <w:p w14:paraId="2CB76DC9">
      <w:pPr>
        <w:pStyle w:val="23"/>
        <w:widowControl/>
        <w:spacing w:before="40" w:line="346" w:lineRule="exact"/>
        <w:ind w:left="425" w:right="17"/>
        <w:rPr>
          <w:rStyle w:val="11"/>
          <w:rFonts w:asciiTheme="minorEastAsia" w:hAnsiTheme="minorEastAsia" w:eastAsiaTheme="minorEastAsia" w:cstheme="minorEastAsia"/>
          <w:bCs/>
          <w:sz w:val="21"/>
          <w:szCs w:val="21"/>
          <w:lang w:val="zh-CN"/>
        </w:rPr>
      </w:pPr>
      <w:r>
        <w:rPr>
          <w:rStyle w:val="11"/>
          <w:rFonts w:hint="eastAsia" w:asciiTheme="minorEastAsia" w:hAnsiTheme="minorEastAsia" w:eastAsiaTheme="minorEastAsia" w:cstheme="minorEastAsia"/>
          <w:bCs/>
          <w:sz w:val="21"/>
          <w:szCs w:val="21"/>
          <w:lang w:val="zh-CN"/>
        </w:rPr>
        <w:t xml:space="preserve">第五条 伦理委员会地址：浙江省杭州市庆春东路3号 </w:t>
      </w:r>
    </w:p>
    <w:p w14:paraId="13FB7B9C">
      <w:pPr>
        <w:pStyle w:val="23"/>
        <w:widowControl/>
        <w:spacing w:before="40" w:line="346" w:lineRule="exact"/>
        <w:ind w:left="425" w:leftChars="193" w:right="17" w:firstLine="735" w:firstLineChars="350"/>
        <w:rPr>
          <w:rStyle w:val="11"/>
          <w:rFonts w:asciiTheme="minorEastAsia" w:hAnsiTheme="minorEastAsia" w:eastAsiaTheme="minorEastAsia" w:cstheme="minorEastAsia"/>
          <w:bCs/>
          <w:sz w:val="21"/>
          <w:szCs w:val="21"/>
          <w:lang w:val="zh-CN"/>
        </w:rPr>
      </w:pPr>
      <w:r>
        <w:rPr>
          <w:rStyle w:val="11"/>
          <w:rFonts w:hint="eastAsia" w:asciiTheme="minorEastAsia" w:hAnsiTheme="minorEastAsia" w:eastAsiaTheme="minorEastAsia" w:cstheme="minorEastAsia"/>
          <w:bCs/>
          <w:sz w:val="21"/>
          <w:szCs w:val="21"/>
          <w:lang w:val="zh-CN"/>
        </w:rPr>
        <w:t>伦理委员会电话：</w:t>
      </w:r>
      <w:r>
        <w:rPr>
          <w:rStyle w:val="22"/>
          <w:rFonts w:hint="eastAsia" w:asciiTheme="minorEastAsia" w:hAnsiTheme="minorEastAsia" w:eastAsiaTheme="minorEastAsia" w:cstheme="minorEastAsia"/>
          <w:b w:val="0"/>
          <w:sz w:val="21"/>
          <w:szCs w:val="21"/>
        </w:rPr>
        <w:t>0571-86006811</w:t>
      </w:r>
    </w:p>
    <w:p w14:paraId="31C1BD01">
      <w:pPr>
        <w:pStyle w:val="12"/>
        <w:widowControl/>
        <w:spacing w:before="4" w:line="346" w:lineRule="exact"/>
        <w:rPr>
          <w:rStyle w:val="11"/>
          <w:rFonts w:asciiTheme="minorEastAsia" w:hAnsiTheme="minorEastAsia" w:eastAsiaTheme="minorEastAsia" w:cstheme="minorEastAsia"/>
          <w:bCs/>
          <w:sz w:val="21"/>
          <w:szCs w:val="21"/>
          <w:lang w:val="zh-CN"/>
        </w:rPr>
      </w:pPr>
      <w:r>
        <w:rPr>
          <w:rStyle w:val="11"/>
          <w:rFonts w:hint="eastAsia" w:asciiTheme="minorEastAsia" w:hAnsiTheme="minorEastAsia" w:eastAsiaTheme="minorEastAsia" w:cstheme="minorEastAsia"/>
          <w:bCs/>
          <w:sz w:val="21"/>
          <w:szCs w:val="21"/>
          <w:lang w:val="zh-CN"/>
        </w:rPr>
        <w:t>第六条 组织架构：伦理委员会隶属邵逸夫医院。医院根据伦理审查的范围，确定伦理委员会的组织架构。医院设置伦理委员会办公室。</w:t>
      </w:r>
    </w:p>
    <w:p w14:paraId="707CA514">
      <w:pPr>
        <w:pStyle w:val="12"/>
        <w:widowControl/>
        <w:spacing w:line="346" w:lineRule="exact"/>
        <w:ind w:firstLine="407"/>
        <w:rPr>
          <w:rStyle w:val="11"/>
          <w:rFonts w:asciiTheme="minorEastAsia" w:hAnsiTheme="minorEastAsia" w:eastAsiaTheme="minorEastAsia" w:cstheme="minorEastAsia"/>
          <w:bCs/>
          <w:sz w:val="21"/>
          <w:szCs w:val="21"/>
          <w:lang w:val="zh-CN"/>
        </w:rPr>
      </w:pPr>
      <w:r>
        <w:rPr>
          <w:rStyle w:val="11"/>
          <w:rFonts w:hint="eastAsia" w:asciiTheme="minorEastAsia" w:hAnsiTheme="minorEastAsia" w:eastAsiaTheme="minorEastAsia" w:cstheme="minorEastAsia"/>
          <w:bCs/>
          <w:sz w:val="21"/>
          <w:szCs w:val="21"/>
          <w:lang w:val="zh-CN"/>
        </w:rPr>
        <w:t>第七条 职责：伦理委员会对本单位承担的以及在本单位内实施的医学科学技术研究进行独立、称职和及时的审查。审查范围包括药物临床试验，医疗器械临床试验，</w:t>
      </w:r>
      <w:r>
        <w:rPr>
          <w:rStyle w:val="11"/>
          <w:rFonts w:hint="eastAsia" w:asciiTheme="minorEastAsia" w:hAnsiTheme="minorEastAsia" w:eastAsiaTheme="minorEastAsia" w:cstheme="minorEastAsia"/>
          <w:bCs/>
          <w:sz w:val="21"/>
          <w:szCs w:val="21"/>
        </w:rPr>
        <w:t>研究者发起的临床研究</w:t>
      </w:r>
      <w:r>
        <w:rPr>
          <w:rStyle w:val="11"/>
          <w:rFonts w:hint="eastAsia" w:asciiTheme="minorEastAsia" w:hAnsiTheme="minorEastAsia" w:eastAsiaTheme="minorEastAsia" w:cstheme="minorEastAsia"/>
          <w:bCs/>
          <w:sz w:val="21"/>
          <w:szCs w:val="21"/>
          <w:lang w:val="zh-CN"/>
        </w:rPr>
        <w:t>，医疗新技术</w:t>
      </w:r>
      <w:r>
        <w:rPr>
          <w:rStyle w:val="11"/>
          <w:rFonts w:hint="eastAsia" w:asciiTheme="minorEastAsia" w:hAnsiTheme="minorEastAsia" w:eastAsiaTheme="minorEastAsia" w:cstheme="minorEastAsia"/>
          <w:bCs/>
          <w:sz w:val="21"/>
          <w:szCs w:val="21"/>
        </w:rPr>
        <w:t>，医疗相关人员伦理冲突</w:t>
      </w:r>
      <w:r>
        <w:rPr>
          <w:rStyle w:val="11"/>
          <w:rFonts w:hint="eastAsia" w:asciiTheme="minorEastAsia" w:hAnsiTheme="minorEastAsia" w:eastAsiaTheme="minorEastAsia" w:cstheme="minorEastAsia"/>
          <w:bCs/>
          <w:sz w:val="21"/>
          <w:szCs w:val="21"/>
          <w:lang w:val="zh-CN"/>
        </w:rPr>
        <w:t>。研究伦理审查类别包括初始审查、跟踪审查和复审。伦理委员会办公室负责伦理委员会日常行政事务的管理工作。</w:t>
      </w:r>
    </w:p>
    <w:p w14:paraId="78D5E8AC">
      <w:pPr>
        <w:pStyle w:val="12"/>
        <w:widowControl/>
        <w:spacing w:line="346" w:lineRule="exact"/>
        <w:ind w:firstLine="425"/>
        <w:rPr>
          <w:rStyle w:val="11"/>
          <w:rFonts w:asciiTheme="minorEastAsia" w:hAnsiTheme="minorEastAsia" w:eastAsiaTheme="minorEastAsia" w:cstheme="minorEastAsia"/>
          <w:bCs/>
          <w:sz w:val="21"/>
          <w:szCs w:val="21"/>
          <w:lang w:val="zh-CN"/>
        </w:rPr>
        <w:sectPr>
          <w:headerReference r:id="rId6" w:type="default"/>
          <w:footerReference r:id="rId8" w:type="default"/>
          <w:headerReference r:id="rId7" w:type="even"/>
          <w:pgSz w:w="11905" w:h="16837"/>
          <w:pgMar w:top="1440" w:right="1797" w:bottom="1440" w:left="1797" w:header="720" w:footer="720" w:gutter="0"/>
          <w:pgNumType w:fmt="numberInDash" w:chapStyle="1"/>
          <w:cols w:space="60" w:num="1"/>
          <w:docGrid w:type="lines" w:linePitch="348" w:charSpace="0"/>
        </w:sectPr>
      </w:pPr>
      <w:r>
        <w:rPr>
          <w:rStyle w:val="11"/>
          <w:rFonts w:hint="eastAsia" w:asciiTheme="minorEastAsia" w:hAnsiTheme="minorEastAsia" w:eastAsiaTheme="minorEastAsia" w:cstheme="minorEastAsia"/>
          <w:bCs/>
          <w:sz w:val="21"/>
          <w:szCs w:val="21"/>
          <w:lang w:val="zh-CN"/>
        </w:rPr>
        <w:t>第八条 权力：伦理委员会的运行必须独立于申办者、研究者，并避免任何不适当影响。伦理委员会有权批准</w:t>
      </w:r>
      <w:r>
        <w:rPr>
          <w:rStyle w:val="24"/>
          <w:rFonts w:hint="eastAsia" w:asciiTheme="minorEastAsia" w:hAnsiTheme="minorEastAsia" w:eastAsiaTheme="minorEastAsia" w:cstheme="minorEastAsia"/>
          <w:bCs/>
          <w:sz w:val="21"/>
          <w:szCs w:val="21"/>
          <w:lang w:val="zh-CN"/>
        </w:rPr>
        <w:t>/</w:t>
      </w:r>
      <w:r>
        <w:rPr>
          <w:rStyle w:val="11"/>
          <w:rFonts w:hint="eastAsia" w:asciiTheme="minorEastAsia" w:hAnsiTheme="minorEastAsia" w:eastAsiaTheme="minorEastAsia" w:cstheme="minorEastAsia"/>
          <w:bCs/>
          <w:sz w:val="21"/>
          <w:szCs w:val="21"/>
          <w:lang w:val="zh-CN"/>
        </w:rPr>
        <w:t>不批准一项临床研究，对批准的临床研究进行跟踪审查，终止或暂停已经批准的临床研究。</w:t>
      </w:r>
    </w:p>
    <w:p w14:paraId="414C0ACA">
      <w:pPr>
        <w:pStyle w:val="12"/>
        <w:widowControl/>
        <w:spacing w:before="4" w:line="346" w:lineRule="exact"/>
        <w:ind w:firstLine="403"/>
        <w:rPr>
          <w:rStyle w:val="11"/>
          <w:rFonts w:asciiTheme="minorEastAsia" w:hAnsiTheme="minorEastAsia" w:eastAsiaTheme="minorEastAsia" w:cstheme="minorEastAsia"/>
          <w:bCs/>
          <w:sz w:val="21"/>
          <w:szCs w:val="21"/>
          <w:lang w:val="zh-CN"/>
        </w:rPr>
      </w:pPr>
      <w:r>
        <w:rPr>
          <w:rStyle w:val="11"/>
          <w:rFonts w:hint="eastAsia" w:asciiTheme="minorEastAsia" w:hAnsiTheme="minorEastAsia" w:eastAsiaTheme="minorEastAsia" w:cstheme="minorEastAsia"/>
          <w:bCs/>
          <w:sz w:val="21"/>
          <w:szCs w:val="21"/>
          <w:lang w:val="zh-CN"/>
        </w:rPr>
        <w:t>第九条 行政资源：医院为伦理委员会提供独立的办公室，必要的办公条件，有可利用的档案室和会议室，以满足其职能的需求。医院任命伦理委员会秘书，完成伦理委员会工作的需求。医院为委员、秘书、独立顾问提供充分的培训，使其能够胜任工作。</w:t>
      </w:r>
    </w:p>
    <w:p w14:paraId="1D46CE69">
      <w:pPr>
        <w:pStyle w:val="12"/>
        <w:widowControl/>
        <w:spacing w:line="346" w:lineRule="exact"/>
        <w:ind w:firstLine="414"/>
        <w:rPr>
          <w:rStyle w:val="22"/>
          <w:rFonts w:asciiTheme="minorEastAsia" w:hAnsiTheme="minorEastAsia" w:eastAsiaTheme="minorEastAsia" w:cstheme="minorEastAsia"/>
          <w:b w:val="0"/>
          <w:sz w:val="21"/>
          <w:szCs w:val="21"/>
        </w:rPr>
      </w:pPr>
      <w:r>
        <w:rPr>
          <w:rStyle w:val="11"/>
          <w:rFonts w:hint="eastAsia" w:asciiTheme="minorEastAsia" w:hAnsiTheme="minorEastAsia" w:eastAsiaTheme="minorEastAsia" w:cstheme="minorEastAsia"/>
          <w:bCs/>
          <w:sz w:val="21"/>
          <w:szCs w:val="21"/>
          <w:lang w:val="zh-CN"/>
        </w:rPr>
        <w:t>第十条 财政资源：医院应为伦理委员会提供充足的财政支持，保障培训、审查和咨询等支出费用。经费使用按照医院财务</w:t>
      </w:r>
      <w:r>
        <w:rPr>
          <w:rStyle w:val="22"/>
          <w:rFonts w:hint="eastAsia" w:asciiTheme="minorEastAsia" w:hAnsiTheme="minorEastAsia" w:eastAsiaTheme="minorEastAsia" w:cstheme="minorEastAsia"/>
          <w:b w:val="0"/>
          <w:sz w:val="21"/>
          <w:szCs w:val="21"/>
        </w:rPr>
        <w:t>管理规定执行，可应要求公开支付给委员的劳务补偿。</w:t>
      </w:r>
    </w:p>
    <w:p w14:paraId="4069629E">
      <w:pPr>
        <w:pStyle w:val="21"/>
        <w:widowControl/>
        <w:spacing w:before="178"/>
        <w:ind w:right="50"/>
        <w:jc w:val="center"/>
        <w:rPr>
          <w:rStyle w:val="22"/>
          <w:rFonts w:asciiTheme="minorEastAsia" w:hAnsiTheme="minorEastAsia" w:eastAsiaTheme="minorEastAsia" w:cstheme="minorEastAsia"/>
          <w:b w:val="0"/>
          <w:sz w:val="22"/>
          <w:szCs w:val="22"/>
          <w:lang w:val="zh-CN"/>
        </w:rPr>
      </w:pPr>
      <w:r>
        <w:rPr>
          <w:rStyle w:val="22"/>
          <w:rFonts w:hint="eastAsia" w:asciiTheme="minorEastAsia" w:hAnsiTheme="minorEastAsia" w:eastAsiaTheme="minorEastAsia" w:cstheme="minorEastAsia"/>
          <w:b w:val="0"/>
          <w:sz w:val="22"/>
          <w:szCs w:val="22"/>
          <w:lang w:val="zh-CN"/>
        </w:rPr>
        <w:t>第三章 组建与换届</w:t>
      </w:r>
    </w:p>
    <w:p w14:paraId="25F92463">
      <w:pPr>
        <w:pStyle w:val="12"/>
        <w:widowControl/>
        <w:spacing w:before="4"/>
        <w:ind w:right="68"/>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第十一条 委员组成：伦理委员会委员的组成和数量应与所审查项目的专业类别和数量相符。伦理委员会的委员类别包括医药专业、非医药专业、伦理学、与研究项目的组织者和研究机构（医院）不存在行政隶属关系的外单位的人员、法律专家，并有不同性别的委员，人数不得少于7人。</w:t>
      </w:r>
    </w:p>
    <w:p w14:paraId="61F5AD66">
      <w:pPr>
        <w:pStyle w:val="12"/>
        <w:widowControl/>
        <w:spacing w:line="346" w:lineRule="exact"/>
        <w:ind w:firstLine="421"/>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第十二条 委员的推荐：伦理委员会结合有关各方的推荐并征询本人意见，形成委员候选人名单。候选人员应能保证参加培训，保证有足够的时间和精力参加审查工作。</w:t>
      </w:r>
    </w:p>
    <w:p w14:paraId="290A0E2E">
      <w:pPr>
        <w:pStyle w:val="12"/>
        <w:widowControl/>
        <w:spacing w:line="346" w:lineRule="exact"/>
        <w:ind w:firstLine="421"/>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第十三条 任命的机构与程序：医院院务常务委员会负责伦理委员会委员的任命事项。伦理委员会委员候选人员名单提交院务常务委员会审查讨论。伦理委员会组成人员以医院正式文件的方式任命。任命文件递交政府相关管理部门备案。</w:t>
      </w:r>
    </w:p>
    <w:p w14:paraId="01CEB250">
      <w:pPr>
        <w:pStyle w:val="23"/>
        <w:widowControl/>
        <w:spacing w:line="346" w:lineRule="exact"/>
        <w:ind w:firstLine="420" w:firstLineChars="200"/>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接受任命的伦理委员会委员应参加GCP、伦理审查方面的初始培训和继续教育；提交本人简历、资质证明文件，GCP、伦理审查培训证书；同意并签署利益冲突声明和保密协议，并同意公开自己的姓名、职业和隶属机构，同意公开与参加伦理审查工作相关的劳务等补偿。</w:t>
      </w:r>
    </w:p>
    <w:p w14:paraId="719B51FE">
      <w:pPr>
        <w:pStyle w:val="23"/>
        <w:widowControl/>
        <w:spacing w:line="346" w:lineRule="exact"/>
        <w:ind w:firstLine="418"/>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第十四条 主任：伦理委员会设主任委员1名，副主任委员1名。主任和副主任委员经医院院务常务委员会任命。主任委员负责主持审查会议，审签会议记录，审签决定文件。主任委员与其他委员之间不是管理与被管理的关系。主任委员因故不能履行职责时，可以委托副主任委员履行主任委员全部或部分职责。</w:t>
      </w:r>
    </w:p>
    <w:p w14:paraId="6EA5808C">
      <w:pPr>
        <w:pStyle w:val="12"/>
        <w:widowControl/>
        <w:spacing w:line="346" w:lineRule="exact"/>
        <w:ind w:firstLine="420" w:firstLineChars="200"/>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第十五条：任期、换届：</w:t>
      </w:r>
      <w:r>
        <w:rPr>
          <w:rFonts w:hint="eastAsia" w:asciiTheme="minorEastAsia" w:hAnsiTheme="minorEastAsia" w:eastAsiaTheme="minorEastAsia" w:cstheme="minorEastAsia"/>
          <w:bCs/>
          <w:sz w:val="21"/>
          <w:szCs w:val="21"/>
          <w:shd w:val="clear" w:color="auto" w:fill="FFFFFF"/>
        </w:rPr>
        <w:t>伦理委员会委员任期5年，可以连任。</w:t>
      </w:r>
      <w:r>
        <w:rPr>
          <w:rStyle w:val="22"/>
          <w:rFonts w:hint="eastAsia" w:asciiTheme="minorEastAsia" w:hAnsiTheme="minorEastAsia" w:eastAsiaTheme="minorEastAsia" w:cstheme="minorEastAsia"/>
          <w:b w:val="0"/>
          <w:sz w:val="21"/>
          <w:szCs w:val="21"/>
        </w:rPr>
        <w:t>任期应考虑审查能力的发展，以及委员的专业类别。换届应考虑其岗位调整、实际工作情况。应有部分委员留任，以保证伦理委员会工作的连续性。医院院务常务委员会任命。</w:t>
      </w:r>
    </w:p>
    <w:p w14:paraId="5E4174C4">
      <w:pPr>
        <w:pStyle w:val="23"/>
        <w:widowControl/>
        <w:spacing w:line="346" w:lineRule="exact"/>
        <w:ind w:firstLine="414"/>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第十六条 免职：以下情况可以免去委员资格：本人书面申请辞去委员职务者；因各种原因缺席年度30%及以上伦理审查会议者；因健康或工作调离等原因，不能继续履行委员职责者；因道德行为规范与委员职责相违背（如与审查项目存在利益冲突而不主动声明），不适宜继续担任委员者。</w:t>
      </w:r>
    </w:p>
    <w:p w14:paraId="1029716D">
      <w:pPr>
        <w:pStyle w:val="23"/>
        <w:widowControl/>
        <w:spacing w:line="346" w:lineRule="exact"/>
        <w:ind w:firstLine="425"/>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免职程序：免职由院务常务委员会讨论决定。免职决定以医院正式文件的方式公布。</w:t>
      </w:r>
    </w:p>
    <w:p w14:paraId="20F11D7E">
      <w:pPr>
        <w:pStyle w:val="23"/>
        <w:widowControl/>
        <w:numPr>
          <w:ilvl w:val="0"/>
          <w:numId w:val="1"/>
        </w:numPr>
        <w:spacing w:line="346" w:lineRule="exact"/>
        <w:ind w:firstLine="414"/>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替换：因委员辞职或免职等原因，可以启动委员替换程序。根据资质、专业相当的原则候选替补委员。替补委员由院务常务委员会讨论决定。当选的替补委员以医院正式文件的方式任命。</w:t>
      </w:r>
    </w:p>
    <w:p w14:paraId="5D053BC5">
      <w:pPr>
        <w:pStyle w:val="23"/>
        <w:widowControl/>
        <w:numPr>
          <w:ilvl w:val="255"/>
          <w:numId w:val="0"/>
        </w:numPr>
        <w:spacing w:line="346" w:lineRule="exact"/>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 xml:space="preserve">    伦理委员会可以视情况设置某些类别委员的候补委员，当正式委员因故无法参与伦理审查时由相应专业的候补委员接替，正式委员与候补委员其中有一人参与审查会议即可，参与审查的候补委员的权利与义务同正式委员。</w:t>
      </w:r>
    </w:p>
    <w:p w14:paraId="2CD2DBF8">
      <w:pPr>
        <w:pStyle w:val="23"/>
        <w:widowControl/>
        <w:spacing w:line="346" w:lineRule="exact"/>
        <w:ind w:firstLine="418"/>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第十八条 独立顾问：如果委员专业知识不能胜任某临床研究项目的审查，或某临床研究项目的</w:t>
      </w:r>
      <w:r>
        <w:rPr>
          <w:rStyle w:val="22"/>
          <w:rFonts w:hint="eastAsia" w:asciiTheme="minorEastAsia" w:hAnsiTheme="minorEastAsia" w:eastAsiaTheme="minorEastAsia" w:cstheme="minorEastAsia"/>
          <w:b w:val="0"/>
          <w:sz w:val="21"/>
          <w:szCs w:val="21"/>
          <w:lang w:eastAsia="zh-CN"/>
        </w:rPr>
        <w:t>试验参与者</w:t>
      </w:r>
      <w:r>
        <w:rPr>
          <w:rStyle w:val="22"/>
          <w:rFonts w:hint="eastAsia" w:asciiTheme="minorEastAsia" w:hAnsiTheme="minorEastAsia" w:eastAsiaTheme="minorEastAsia" w:cstheme="minorEastAsia"/>
          <w:b w:val="0"/>
          <w:sz w:val="21"/>
          <w:szCs w:val="21"/>
        </w:rPr>
        <w:t>与委员的社会与文化背景明显不同时，可以聘请独立顾问。独立顾问参与研究项目咨询前应提交本人简历、资质证明文件，签署利益冲突声明和保密协议。独立顾问应邀对临床研究项目的某方面问题提供咨询意见，但不具有表决权。</w:t>
      </w:r>
    </w:p>
    <w:p w14:paraId="304D860C">
      <w:pPr>
        <w:pStyle w:val="21"/>
        <w:widowControl/>
        <w:spacing w:before="178"/>
        <w:ind w:right="50"/>
        <w:jc w:val="center"/>
        <w:rPr>
          <w:rStyle w:val="22"/>
          <w:rFonts w:asciiTheme="minorEastAsia" w:hAnsiTheme="minorEastAsia" w:eastAsiaTheme="minorEastAsia" w:cstheme="minorEastAsia"/>
          <w:b w:val="0"/>
          <w:sz w:val="22"/>
          <w:szCs w:val="22"/>
          <w:lang w:val="zh-CN"/>
        </w:rPr>
      </w:pPr>
      <w:r>
        <w:rPr>
          <w:rStyle w:val="22"/>
          <w:rFonts w:hint="eastAsia" w:asciiTheme="minorEastAsia" w:hAnsiTheme="minorEastAsia" w:eastAsiaTheme="minorEastAsia" w:cstheme="minorEastAsia"/>
          <w:b w:val="0"/>
          <w:sz w:val="22"/>
          <w:szCs w:val="22"/>
          <w:lang w:val="zh-CN"/>
        </w:rPr>
        <w:t>第四章 运 作</w:t>
      </w:r>
    </w:p>
    <w:p w14:paraId="291C42BE">
      <w:pPr>
        <w:pStyle w:val="21"/>
        <w:widowControl/>
        <w:spacing w:line="346" w:lineRule="exact"/>
        <w:ind w:firstLine="420" w:firstLineChars="200"/>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第十九条 审查方式：伦理委员会的审查方式有会议审查，紧急会议审查，快速审查。实行主审制，为每个审查项目安排主审委员，填写审查工作表。会议审查和快速审查是伦理委员会主要的审查工作方式，按项目数量定期召开审查会议。研究过程中出现重大或严重问题，危及</w:t>
      </w:r>
      <w:r>
        <w:rPr>
          <w:rStyle w:val="22"/>
          <w:rFonts w:hint="eastAsia" w:asciiTheme="minorEastAsia" w:hAnsiTheme="minorEastAsia" w:eastAsiaTheme="minorEastAsia" w:cstheme="minorEastAsia"/>
          <w:b w:val="0"/>
          <w:sz w:val="21"/>
          <w:szCs w:val="21"/>
          <w:lang w:eastAsia="zh-CN"/>
        </w:rPr>
        <w:t>试验参与者</w:t>
      </w:r>
      <w:r>
        <w:rPr>
          <w:rStyle w:val="22"/>
          <w:rFonts w:hint="eastAsia" w:asciiTheme="minorEastAsia" w:hAnsiTheme="minorEastAsia" w:eastAsiaTheme="minorEastAsia" w:cstheme="minorEastAsia"/>
          <w:b w:val="0"/>
          <w:sz w:val="21"/>
          <w:szCs w:val="21"/>
        </w:rPr>
        <w:t>安全，应召开紧急会议审查。快速审查是会议审查的补充形式，目的是为了提高工作效率。</w:t>
      </w:r>
    </w:p>
    <w:p w14:paraId="3C393855">
      <w:pPr>
        <w:pStyle w:val="21"/>
        <w:widowControl/>
        <w:spacing w:before="101"/>
        <w:ind w:left="421"/>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第二十条 法定人数：到会委员人数应超过半数成员；到会委员应包括医药专业、非医</w:t>
      </w:r>
    </w:p>
    <w:p w14:paraId="7A32EF64">
      <w:pPr>
        <w:pStyle w:val="21"/>
        <w:widowControl/>
        <w:spacing w:before="101"/>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药专业、独立于研究实施机构之外的委员，并有不同性别的委员。</w:t>
      </w:r>
    </w:p>
    <w:p w14:paraId="0F16B95B">
      <w:pPr>
        <w:pStyle w:val="23"/>
        <w:widowControl/>
        <w:ind w:firstLine="420" w:firstLineChars="200"/>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第二十一条 审查决定：送审文件齐全，申请人、独立顾问以及与研究项目存在利益冲突的委员离场，投票委员符合法定人数，按审查要素和审查要点进行充分的审查讨论后，以投票的方式做出决定；没有参与会议讨论的委员不能投票。</w:t>
      </w:r>
      <w:r>
        <w:rPr>
          <w:rFonts w:hint="eastAsia" w:asciiTheme="minorEastAsia" w:hAnsiTheme="minorEastAsia" w:eastAsiaTheme="minorEastAsia" w:cstheme="minorEastAsia"/>
          <w:bCs/>
          <w:sz w:val="21"/>
          <w:szCs w:val="21"/>
          <w:shd w:val="clear" w:color="auto" w:fill="FFFFFF"/>
        </w:rPr>
        <w:t>伦理委员会作出决定应当得到伦理委员会全体委员的二分之一以上同意。</w:t>
      </w:r>
      <w:r>
        <w:rPr>
          <w:rStyle w:val="22"/>
          <w:rFonts w:hint="eastAsia" w:asciiTheme="minorEastAsia" w:hAnsiTheme="minorEastAsia" w:eastAsiaTheme="minorEastAsia" w:cstheme="minorEastAsia"/>
          <w:b w:val="0"/>
          <w:sz w:val="21"/>
          <w:szCs w:val="21"/>
        </w:rPr>
        <w:t>会后及时传达审查决定或意见。研究者、或研究利益相关方对伦理委员会的审查决定有不同意见，可以提交复审，与伦理委员会委员和办公室沟通交流，或向医院质量管理部门申诉。</w:t>
      </w:r>
    </w:p>
    <w:p w14:paraId="75D18C6E">
      <w:pPr>
        <w:pStyle w:val="23"/>
        <w:widowControl/>
        <w:spacing w:line="346" w:lineRule="exact"/>
        <w:ind w:firstLine="420" w:firstLineChars="200"/>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第二十二条 利益冲突管理：遵循利益冲突政策，与研究项目存在利益冲突的委员/独立顾问应主动声明并退出该项目审查的讨论和决定程序。伦理委员会应审查研究人员与研究项目之间的利益冲突，必要时采取限制性措施。</w:t>
      </w:r>
    </w:p>
    <w:p w14:paraId="030556E5">
      <w:pPr>
        <w:pStyle w:val="23"/>
        <w:widowControl/>
        <w:spacing w:before="4" w:line="346" w:lineRule="exact"/>
        <w:ind w:firstLine="407"/>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第二十三条 保密：伦理委员会委员/独立顾问对送审项目的文件负有保密责任和义务， 审查完成后，及时交回所有送审文件与审查材料，不得私自复制与外传。</w:t>
      </w:r>
    </w:p>
    <w:p w14:paraId="7EE33746">
      <w:pPr>
        <w:pStyle w:val="23"/>
        <w:widowControl/>
        <w:spacing w:line="346" w:lineRule="exact"/>
        <w:ind w:firstLine="374"/>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第二十四条 协作：医院所有与试验参与者保护的相关部门应协同伦理委员会工作，明确各自在伦理审查和研究监管中的职责，保证本医院承担的以及在本医院内实施的所有涉及人的生物医学研究项目都提交伦理审查，试验参与者的健康和权益得到保护；保证开展研究中所涉及的组织机构利益冲突、委员和研究人员的个人利益冲突得到最大限度的减少或消除；有效地报告和处理违背法规与方案的情况；建立与试验参与者、研究者或研究利益相关方有效的沟通渠道，对其所关心的问题和诉求做出回应。</w:t>
      </w:r>
    </w:p>
    <w:p w14:paraId="6DCC7F73">
      <w:pPr>
        <w:pStyle w:val="23"/>
        <w:widowControl/>
        <w:spacing w:line="346" w:lineRule="exact"/>
        <w:ind w:firstLine="400"/>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伦理委员会应建立与其他机构伦理委员会有效的沟通交流机制，协作完成多中心临床研究的伦理审查。</w:t>
      </w:r>
    </w:p>
    <w:p w14:paraId="59425BD5">
      <w:pPr>
        <w:pStyle w:val="23"/>
        <w:widowControl/>
        <w:spacing w:before="4" w:line="346" w:lineRule="exact"/>
        <w:ind w:firstLine="403"/>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第二十五条 质量管理：伦理委员会接受医院质量管理部门对伦理委员会工作质量的检查评估；接受卫生行政部门、药品监督管理部门的监督管理；接受独立的、外部的质量评估或认证。伦理委员会对检查发现的问题采取相应的改进措施。</w:t>
      </w:r>
    </w:p>
    <w:p w14:paraId="61C9DA5C">
      <w:pPr>
        <w:pStyle w:val="23"/>
        <w:widowControl/>
        <w:spacing w:line="346" w:lineRule="exact"/>
        <w:ind w:firstLine="396"/>
        <w:rPr>
          <w:rStyle w:val="22"/>
          <w:rFonts w:asciiTheme="minorEastAsia" w:hAnsiTheme="minorEastAsia" w:eastAsiaTheme="minorEastAsia" w:cstheme="minorEastAsia"/>
          <w:b w:val="0"/>
          <w:sz w:val="21"/>
          <w:szCs w:val="21"/>
        </w:rPr>
      </w:pPr>
      <w:r>
        <w:rPr>
          <w:rStyle w:val="22"/>
          <w:rFonts w:hint="eastAsia" w:asciiTheme="minorEastAsia" w:hAnsiTheme="minorEastAsia" w:eastAsiaTheme="minorEastAsia" w:cstheme="minorEastAsia"/>
          <w:b w:val="0"/>
          <w:sz w:val="21"/>
          <w:szCs w:val="21"/>
        </w:rPr>
        <w:t>第二十六条 监督管理：伦理委员会向医院、国家药品监督管理局报告年度伦理审查工作情况。医院质量管理部门负责受理对伦理委员会决定的申诉或其他诉求。对伦理委员会违反法规的“</w:t>
      </w:r>
      <w:r>
        <w:rPr>
          <w:rStyle w:val="22"/>
          <w:rFonts w:hint="eastAsia" w:asciiTheme="minorEastAsia" w:hAnsiTheme="minorEastAsia" w:eastAsiaTheme="minorEastAsia" w:cstheme="minorEastAsia"/>
          <w:b w:val="0"/>
          <w:sz w:val="21"/>
          <w:szCs w:val="21"/>
          <w:lang w:val="en-US" w:eastAsia="zh-CN"/>
        </w:rPr>
        <w:t>批准</w:t>
      </w:r>
      <w:r>
        <w:rPr>
          <w:rStyle w:val="22"/>
          <w:rFonts w:hint="eastAsia" w:asciiTheme="minorEastAsia" w:hAnsiTheme="minorEastAsia" w:eastAsiaTheme="minorEastAsia" w:cstheme="minorEastAsia"/>
          <w:b w:val="0"/>
          <w:sz w:val="21"/>
          <w:szCs w:val="21"/>
        </w:rPr>
        <w:t>”决定，医院院务常务委员会可要求伦理委员会重审，或中止所批准的研究项目。</w:t>
      </w:r>
    </w:p>
    <w:p w14:paraId="17CAEF6A">
      <w:pPr>
        <w:spacing w:line="220" w:lineRule="atLeast"/>
        <w:rPr>
          <w:rStyle w:val="22"/>
          <w:rFonts w:hAnsi="Calibri"/>
          <w:sz w:val="21"/>
          <w:szCs w:val="21"/>
        </w:rPr>
        <w:sectPr>
          <w:pgSz w:w="11905" w:h="16837"/>
          <w:pgMar w:top="1440" w:right="1797" w:bottom="1440" w:left="1797" w:header="720" w:footer="720" w:gutter="0"/>
          <w:pgNumType w:fmt="numberInDash" w:chapStyle="1"/>
          <w:cols w:space="60" w:num="1"/>
          <w:docGrid w:type="lines" w:linePitch="348" w:charSpace="0"/>
        </w:sectPr>
      </w:pPr>
    </w:p>
    <w:tbl>
      <w:tblPr>
        <w:tblStyle w:val="7"/>
        <w:tblW w:w="8544" w:type="dxa"/>
        <w:tblInd w:w="40" w:type="dxa"/>
        <w:tblLayout w:type="fixed"/>
        <w:tblCellMar>
          <w:top w:w="0" w:type="dxa"/>
          <w:left w:w="40" w:type="dxa"/>
          <w:bottom w:w="0" w:type="dxa"/>
          <w:right w:w="40" w:type="dxa"/>
        </w:tblCellMar>
      </w:tblPr>
      <w:tblGrid>
        <w:gridCol w:w="2358"/>
        <w:gridCol w:w="2958"/>
        <w:gridCol w:w="1251"/>
        <w:gridCol w:w="1977"/>
      </w:tblGrid>
      <w:tr w14:paraId="43DFFB2D">
        <w:tblPrEx>
          <w:tblCellMar>
            <w:top w:w="0" w:type="dxa"/>
            <w:left w:w="40" w:type="dxa"/>
            <w:bottom w:w="0" w:type="dxa"/>
            <w:right w:w="40" w:type="dxa"/>
          </w:tblCellMar>
        </w:tblPrEx>
        <w:trPr>
          <w:trHeight w:val="517" w:hRule="atLeast"/>
        </w:trPr>
        <w:tc>
          <w:tcPr>
            <w:tcW w:w="5274" w:type="dxa"/>
            <w:gridSpan w:val="2"/>
            <w:vMerge w:val="restart"/>
            <w:tcBorders>
              <w:top w:val="single" w:color="auto" w:sz="6" w:space="0"/>
              <w:left w:val="single" w:color="auto" w:sz="6" w:space="0"/>
              <w:right w:val="single" w:color="auto" w:sz="6" w:space="0"/>
            </w:tcBorders>
            <w:vAlign w:val="center"/>
          </w:tcPr>
          <w:p w14:paraId="5F4F6FE0">
            <w:pPr>
              <w:pStyle w:val="13"/>
              <w:ind w:right="900" w:firstLine="360" w:firstLineChars="150"/>
              <w:jc w:val="center"/>
              <w:rPr>
                <w:rStyle w:val="14"/>
                <w:sz w:val="24"/>
                <w:szCs w:val="24"/>
                <w:lang w:val="zh-CN"/>
              </w:rPr>
            </w:pPr>
            <w:r>
              <w:rPr>
                <w:rStyle w:val="14"/>
                <w:rFonts w:hint="eastAsia"/>
                <w:sz w:val="24"/>
                <w:szCs w:val="24"/>
                <w:lang w:val="zh-CN"/>
              </w:rPr>
              <w:t>邵逸夫医院医学伦理委员会</w:t>
            </w:r>
            <w:r>
              <w:rPr>
                <w:rStyle w:val="14"/>
                <w:rFonts w:hint="eastAsia"/>
                <w:sz w:val="24"/>
                <w:szCs w:val="24"/>
              </w:rPr>
              <w:t>-</w:t>
            </w:r>
            <w:r>
              <w:rPr>
                <w:rStyle w:val="14"/>
                <w:rFonts w:hint="eastAsia"/>
                <w:sz w:val="24"/>
                <w:szCs w:val="24"/>
                <w:lang w:val="zh-CN"/>
              </w:rPr>
              <w:t>制度</w:t>
            </w:r>
          </w:p>
        </w:tc>
        <w:tc>
          <w:tcPr>
            <w:tcW w:w="1241" w:type="dxa"/>
            <w:tcBorders>
              <w:top w:val="single" w:color="auto" w:sz="6" w:space="0"/>
              <w:left w:val="single" w:color="auto" w:sz="6" w:space="0"/>
              <w:bottom w:val="nil"/>
              <w:right w:val="single" w:color="auto" w:sz="6" w:space="0"/>
            </w:tcBorders>
            <w:vAlign w:val="center"/>
          </w:tcPr>
          <w:p w14:paraId="0583D153">
            <w:pPr>
              <w:pStyle w:val="13"/>
              <w:jc w:val="center"/>
              <w:rPr>
                <w:rStyle w:val="14"/>
                <w:sz w:val="20"/>
                <w:szCs w:val="20"/>
                <w:lang w:val="zh-CN"/>
              </w:rPr>
            </w:pPr>
            <w:r>
              <w:rPr>
                <w:rStyle w:val="14"/>
                <w:rFonts w:hint="eastAsia"/>
                <w:sz w:val="20"/>
                <w:szCs w:val="20"/>
                <w:lang w:val="zh-CN"/>
              </w:rPr>
              <w:t>文件编号</w:t>
            </w:r>
          </w:p>
        </w:tc>
        <w:tc>
          <w:tcPr>
            <w:tcW w:w="1961" w:type="dxa"/>
            <w:tcBorders>
              <w:top w:val="single" w:color="auto" w:sz="6" w:space="0"/>
              <w:left w:val="single" w:color="auto" w:sz="6" w:space="0"/>
              <w:right w:val="single" w:color="auto" w:sz="6" w:space="0"/>
            </w:tcBorders>
            <w:vAlign w:val="center"/>
          </w:tcPr>
          <w:p w14:paraId="2D0214AD">
            <w:pPr>
              <w:pStyle w:val="15"/>
              <w:jc w:val="center"/>
              <w:rPr>
                <w:sz w:val="20"/>
                <w:szCs w:val="20"/>
              </w:rPr>
            </w:pPr>
            <w:r>
              <w:rPr>
                <w:rFonts w:hint="eastAsia"/>
                <w:sz w:val="20"/>
                <w:szCs w:val="20"/>
              </w:rPr>
              <w:t>IRB-ZZ-02/</w:t>
            </w:r>
            <w:r>
              <w:rPr>
                <w:sz w:val="20"/>
                <w:szCs w:val="20"/>
              </w:rPr>
              <w:t>6</w:t>
            </w:r>
            <w:r>
              <w:rPr>
                <w:rFonts w:hint="eastAsia"/>
                <w:sz w:val="20"/>
                <w:szCs w:val="20"/>
              </w:rPr>
              <w:t>.0</w:t>
            </w:r>
          </w:p>
        </w:tc>
      </w:tr>
      <w:tr w14:paraId="007BCA03">
        <w:tblPrEx>
          <w:tblCellMar>
            <w:top w:w="0" w:type="dxa"/>
            <w:left w:w="40" w:type="dxa"/>
            <w:bottom w:w="0" w:type="dxa"/>
            <w:right w:w="40" w:type="dxa"/>
          </w:tblCellMar>
        </w:tblPrEx>
        <w:trPr>
          <w:trHeight w:val="291" w:hRule="atLeast"/>
        </w:trPr>
        <w:tc>
          <w:tcPr>
            <w:tcW w:w="5274" w:type="dxa"/>
            <w:gridSpan w:val="2"/>
            <w:vMerge w:val="continue"/>
            <w:tcBorders>
              <w:left w:val="single" w:color="auto" w:sz="6" w:space="0"/>
              <w:bottom w:val="single" w:color="auto" w:sz="6" w:space="0"/>
              <w:right w:val="single" w:color="auto" w:sz="6" w:space="0"/>
            </w:tcBorders>
            <w:vAlign w:val="center"/>
          </w:tcPr>
          <w:p w14:paraId="02B3CE62">
            <w:pPr>
              <w:pStyle w:val="16"/>
              <w:jc w:val="center"/>
              <w:rPr>
                <w:sz w:val="20"/>
                <w:szCs w:val="20"/>
              </w:rPr>
            </w:pPr>
          </w:p>
        </w:tc>
        <w:tc>
          <w:tcPr>
            <w:tcW w:w="1241" w:type="dxa"/>
            <w:tcBorders>
              <w:top w:val="single" w:color="auto" w:sz="6" w:space="0"/>
              <w:left w:val="single" w:color="auto" w:sz="6" w:space="0"/>
              <w:bottom w:val="single" w:color="auto" w:sz="6" w:space="0"/>
              <w:right w:val="single" w:color="auto" w:sz="6" w:space="0"/>
            </w:tcBorders>
            <w:vAlign w:val="center"/>
          </w:tcPr>
          <w:p w14:paraId="470141B2">
            <w:pPr>
              <w:pStyle w:val="13"/>
              <w:jc w:val="center"/>
              <w:rPr>
                <w:rStyle w:val="14"/>
                <w:sz w:val="20"/>
                <w:szCs w:val="20"/>
                <w:lang w:val="zh-CN"/>
              </w:rPr>
            </w:pPr>
            <w:r>
              <w:rPr>
                <w:rStyle w:val="14"/>
                <w:rFonts w:hint="eastAsia"/>
                <w:sz w:val="20"/>
                <w:szCs w:val="20"/>
                <w:lang w:val="zh-CN"/>
              </w:rPr>
              <w:t>版本号</w:t>
            </w:r>
          </w:p>
        </w:tc>
        <w:tc>
          <w:tcPr>
            <w:tcW w:w="1961" w:type="dxa"/>
            <w:tcBorders>
              <w:top w:val="single" w:color="auto" w:sz="6" w:space="0"/>
              <w:left w:val="single" w:color="auto" w:sz="6" w:space="0"/>
              <w:bottom w:val="single" w:color="auto" w:sz="6" w:space="0"/>
              <w:right w:val="single" w:color="auto" w:sz="6" w:space="0"/>
            </w:tcBorders>
            <w:vAlign w:val="center"/>
          </w:tcPr>
          <w:p w14:paraId="16421712">
            <w:pPr>
              <w:pStyle w:val="15"/>
              <w:jc w:val="center"/>
              <w:rPr>
                <w:sz w:val="20"/>
                <w:szCs w:val="20"/>
              </w:rPr>
            </w:pPr>
            <w:r>
              <w:rPr>
                <w:sz w:val="20"/>
                <w:szCs w:val="20"/>
              </w:rPr>
              <w:t>6</w:t>
            </w:r>
            <w:r>
              <w:rPr>
                <w:rFonts w:hint="eastAsia"/>
                <w:sz w:val="20"/>
                <w:szCs w:val="20"/>
              </w:rPr>
              <w:t>.0</w:t>
            </w:r>
          </w:p>
        </w:tc>
      </w:tr>
      <w:tr w14:paraId="758B00C2">
        <w:tblPrEx>
          <w:tblCellMar>
            <w:top w:w="0" w:type="dxa"/>
            <w:left w:w="40" w:type="dxa"/>
            <w:bottom w:w="0" w:type="dxa"/>
            <w:right w:w="40" w:type="dxa"/>
          </w:tblCellMar>
        </w:tblPrEx>
        <w:trPr>
          <w:trHeight w:val="597" w:hRule="atLeast"/>
        </w:trPr>
        <w:tc>
          <w:tcPr>
            <w:tcW w:w="2340" w:type="dxa"/>
            <w:tcBorders>
              <w:top w:val="single" w:color="auto" w:sz="6" w:space="0"/>
              <w:left w:val="single" w:color="auto" w:sz="6" w:space="0"/>
              <w:bottom w:val="single" w:color="auto" w:sz="6" w:space="0"/>
              <w:right w:val="single" w:color="auto" w:sz="6" w:space="0"/>
            </w:tcBorders>
            <w:vAlign w:val="center"/>
          </w:tcPr>
          <w:p w14:paraId="2801789C">
            <w:pPr>
              <w:pStyle w:val="13"/>
              <w:ind w:right="437" w:firstLine="700" w:firstLineChars="350"/>
              <w:jc w:val="center"/>
              <w:rPr>
                <w:rStyle w:val="14"/>
                <w:sz w:val="20"/>
                <w:szCs w:val="20"/>
                <w:lang w:val="zh-CN"/>
              </w:rPr>
            </w:pPr>
            <w:r>
              <w:rPr>
                <w:rStyle w:val="14"/>
                <w:rFonts w:hint="eastAsia"/>
                <w:sz w:val="20"/>
                <w:szCs w:val="20"/>
                <w:lang w:val="zh-CN"/>
              </w:rPr>
              <w:t>编写者</w:t>
            </w:r>
          </w:p>
        </w:tc>
        <w:tc>
          <w:tcPr>
            <w:tcW w:w="2934" w:type="dxa"/>
            <w:tcBorders>
              <w:top w:val="single" w:color="auto" w:sz="6" w:space="0"/>
              <w:left w:val="single" w:color="auto" w:sz="6" w:space="0"/>
              <w:bottom w:val="single" w:color="auto" w:sz="6" w:space="0"/>
              <w:right w:val="single" w:color="auto" w:sz="6" w:space="0"/>
            </w:tcBorders>
            <w:vAlign w:val="center"/>
          </w:tcPr>
          <w:p w14:paraId="5B7CAFE5">
            <w:pPr>
              <w:pStyle w:val="16"/>
              <w:ind w:firstLine="1200" w:firstLineChars="600"/>
              <w:jc w:val="both"/>
              <w:rPr>
                <w:sz w:val="20"/>
                <w:szCs w:val="20"/>
              </w:rPr>
            </w:pPr>
            <w:r>
              <w:rPr>
                <w:rFonts w:hint="eastAsia"/>
                <w:sz w:val="20"/>
                <w:szCs w:val="20"/>
              </w:rPr>
              <w:t>许鸣、杨漾池</w:t>
            </w:r>
          </w:p>
        </w:tc>
        <w:tc>
          <w:tcPr>
            <w:tcW w:w="1241" w:type="dxa"/>
            <w:tcBorders>
              <w:top w:val="single" w:color="auto" w:sz="6" w:space="0"/>
              <w:left w:val="single" w:color="auto" w:sz="6" w:space="0"/>
              <w:bottom w:val="single" w:color="auto" w:sz="6" w:space="0"/>
              <w:right w:val="single" w:color="auto" w:sz="6" w:space="0"/>
            </w:tcBorders>
            <w:vAlign w:val="center"/>
          </w:tcPr>
          <w:p w14:paraId="5974C483">
            <w:pPr>
              <w:pStyle w:val="13"/>
              <w:jc w:val="center"/>
              <w:rPr>
                <w:rStyle w:val="14"/>
                <w:sz w:val="20"/>
                <w:szCs w:val="20"/>
                <w:lang w:val="zh-CN"/>
              </w:rPr>
            </w:pPr>
            <w:r>
              <w:rPr>
                <w:rFonts w:hint="eastAsia"/>
                <w:sz w:val="20"/>
                <w:szCs w:val="20"/>
                <w:lang w:val="zh-CN"/>
              </w:rPr>
              <w:t>版本日期</w:t>
            </w:r>
          </w:p>
        </w:tc>
        <w:tc>
          <w:tcPr>
            <w:tcW w:w="1961" w:type="dxa"/>
            <w:tcBorders>
              <w:top w:val="single" w:color="auto" w:sz="6" w:space="0"/>
              <w:left w:val="single" w:color="auto" w:sz="6" w:space="0"/>
              <w:bottom w:val="single" w:color="auto" w:sz="6" w:space="0"/>
              <w:right w:val="single" w:color="auto" w:sz="6" w:space="0"/>
            </w:tcBorders>
            <w:vAlign w:val="center"/>
          </w:tcPr>
          <w:p w14:paraId="6FA3AF5A">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8</w:t>
            </w:r>
            <w:r>
              <w:rPr>
                <w:rFonts w:hint="eastAsia"/>
                <w:sz w:val="20"/>
                <w:szCs w:val="20"/>
              </w:rPr>
              <w:t>-</w:t>
            </w:r>
            <w:r>
              <w:rPr>
                <w:sz w:val="20"/>
                <w:szCs w:val="20"/>
              </w:rPr>
              <w:t>15</w:t>
            </w:r>
          </w:p>
        </w:tc>
      </w:tr>
      <w:tr w14:paraId="5A9D5B4B">
        <w:tblPrEx>
          <w:tblCellMar>
            <w:top w:w="0" w:type="dxa"/>
            <w:left w:w="40" w:type="dxa"/>
            <w:bottom w:w="0" w:type="dxa"/>
            <w:right w:w="40" w:type="dxa"/>
          </w:tblCellMar>
        </w:tblPrEx>
        <w:trPr>
          <w:trHeight w:val="604" w:hRule="atLeast"/>
        </w:trPr>
        <w:tc>
          <w:tcPr>
            <w:tcW w:w="2340" w:type="dxa"/>
            <w:tcBorders>
              <w:top w:val="single" w:color="auto" w:sz="6" w:space="0"/>
              <w:left w:val="single" w:color="auto" w:sz="6" w:space="0"/>
              <w:bottom w:val="single" w:color="auto" w:sz="6" w:space="0"/>
              <w:right w:val="single" w:color="auto" w:sz="6" w:space="0"/>
            </w:tcBorders>
            <w:vAlign w:val="center"/>
          </w:tcPr>
          <w:p w14:paraId="70A9166C">
            <w:pPr>
              <w:pStyle w:val="13"/>
              <w:ind w:right="435" w:firstLine="700" w:firstLineChars="350"/>
              <w:jc w:val="center"/>
              <w:rPr>
                <w:rStyle w:val="14"/>
                <w:sz w:val="20"/>
                <w:szCs w:val="20"/>
                <w:lang w:val="zh-CN"/>
              </w:rPr>
            </w:pPr>
            <w:r>
              <w:rPr>
                <w:rStyle w:val="14"/>
                <w:rFonts w:hint="eastAsia"/>
                <w:sz w:val="20"/>
                <w:szCs w:val="20"/>
                <w:lang w:val="zh-CN"/>
              </w:rPr>
              <w:t>审核者</w:t>
            </w:r>
          </w:p>
        </w:tc>
        <w:tc>
          <w:tcPr>
            <w:tcW w:w="2934" w:type="dxa"/>
            <w:tcBorders>
              <w:top w:val="single" w:color="auto" w:sz="6" w:space="0"/>
              <w:left w:val="single" w:color="auto" w:sz="6" w:space="0"/>
              <w:bottom w:val="single" w:color="auto" w:sz="6" w:space="0"/>
              <w:right w:val="single" w:color="auto" w:sz="6" w:space="0"/>
            </w:tcBorders>
            <w:vAlign w:val="center"/>
          </w:tcPr>
          <w:p w14:paraId="21CE287E">
            <w:pPr>
              <w:pStyle w:val="16"/>
              <w:jc w:val="center"/>
              <w:rPr>
                <w:sz w:val="20"/>
                <w:szCs w:val="20"/>
              </w:rPr>
            </w:pPr>
            <w:r>
              <w:rPr>
                <w:rFonts w:hint="eastAsia"/>
                <w:sz w:val="20"/>
                <w:szCs w:val="20"/>
              </w:rPr>
              <w:t>王青青</w:t>
            </w:r>
          </w:p>
        </w:tc>
        <w:tc>
          <w:tcPr>
            <w:tcW w:w="1241" w:type="dxa"/>
            <w:tcBorders>
              <w:top w:val="single" w:color="auto" w:sz="6" w:space="0"/>
              <w:left w:val="single" w:color="auto" w:sz="6" w:space="0"/>
              <w:bottom w:val="single" w:color="auto" w:sz="6" w:space="0"/>
              <w:right w:val="single" w:color="auto" w:sz="6" w:space="0"/>
            </w:tcBorders>
            <w:vAlign w:val="center"/>
          </w:tcPr>
          <w:p w14:paraId="7CF43BF7">
            <w:pPr>
              <w:pStyle w:val="13"/>
              <w:jc w:val="center"/>
              <w:rPr>
                <w:rStyle w:val="14"/>
                <w:sz w:val="20"/>
                <w:szCs w:val="20"/>
                <w:lang w:val="zh-CN"/>
              </w:rPr>
            </w:pPr>
            <w:r>
              <w:rPr>
                <w:rFonts w:hint="eastAsia"/>
                <w:sz w:val="20"/>
                <w:szCs w:val="20"/>
                <w:lang w:val="zh-CN"/>
              </w:rPr>
              <w:t>批准日期</w:t>
            </w:r>
          </w:p>
        </w:tc>
        <w:tc>
          <w:tcPr>
            <w:tcW w:w="1961" w:type="dxa"/>
            <w:tcBorders>
              <w:top w:val="single" w:color="auto" w:sz="6" w:space="0"/>
              <w:left w:val="single" w:color="auto" w:sz="6" w:space="0"/>
              <w:bottom w:val="single" w:color="auto" w:sz="6" w:space="0"/>
              <w:right w:val="single" w:color="auto" w:sz="6" w:space="0"/>
            </w:tcBorders>
            <w:vAlign w:val="center"/>
          </w:tcPr>
          <w:p w14:paraId="40AD7CE6">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8</w:t>
            </w:r>
            <w:r>
              <w:rPr>
                <w:rFonts w:hint="eastAsia"/>
                <w:sz w:val="20"/>
                <w:szCs w:val="20"/>
              </w:rPr>
              <w:t>-</w:t>
            </w:r>
            <w:r>
              <w:rPr>
                <w:sz w:val="20"/>
                <w:szCs w:val="20"/>
              </w:rPr>
              <w:t>20</w:t>
            </w:r>
          </w:p>
        </w:tc>
      </w:tr>
      <w:tr w14:paraId="06184622">
        <w:tblPrEx>
          <w:tblCellMar>
            <w:top w:w="0" w:type="dxa"/>
            <w:left w:w="40" w:type="dxa"/>
            <w:bottom w:w="0" w:type="dxa"/>
            <w:right w:w="40" w:type="dxa"/>
          </w:tblCellMar>
        </w:tblPrEx>
        <w:trPr>
          <w:trHeight w:val="612" w:hRule="atLeast"/>
        </w:trPr>
        <w:tc>
          <w:tcPr>
            <w:tcW w:w="2340" w:type="dxa"/>
            <w:tcBorders>
              <w:top w:val="single" w:color="auto" w:sz="6" w:space="0"/>
              <w:left w:val="single" w:color="auto" w:sz="6" w:space="0"/>
              <w:bottom w:val="single" w:color="auto" w:sz="6" w:space="0"/>
              <w:right w:val="single" w:color="auto" w:sz="6" w:space="0"/>
            </w:tcBorders>
            <w:vAlign w:val="center"/>
          </w:tcPr>
          <w:p w14:paraId="61C440FC">
            <w:pPr>
              <w:pStyle w:val="13"/>
              <w:ind w:right="435" w:firstLine="700" w:firstLineChars="350"/>
              <w:jc w:val="center"/>
              <w:rPr>
                <w:rStyle w:val="14"/>
                <w:sz w:val="20"/>
                <w:szCs w:val="20"/>
                <w:lang w:val="zh-CN"/>
              </w:rPr>
            </w:pPr>
            <w:r>
              <w:rPr>
                <w:rStyle w:val="14"/>
                <w:rFonts w:hint="eastAsia"/>
                <w:sz w:val="20"/>
                <w:szCs w:val="20"/>
                <w:lang w:val="zh-CN"/>
              </w:rPr>
              <w:t>批准者</w:t>
            </w:r>
          </w:p>
        </w:tc>
        <w:tc>
          <w:tcPr>
            <w:tcW w:w="2934" w:type="dxa"/>
            <w:tcBorders>
              <w:top w:val="single" w:color="auto" w:sz="6" w:space="0"/>
              <w:left w:val="single" w:color="auto" w:sz="6" w:space="0"/>
              <w:bottom w:val="single" w:color="auto" w:sz="6" w:space="0"/>
              <w:right w:val="single" w:color="auto" w:sz="6" w:space="0"/>
            </w:tcBorders>
            <w:vAlign w:val="center"/>
          </w:tcPr>
          <w:p w14:paraId="40FDDD3C">
            <w:pPr>
              <w:pStyle w:val="16"/>
              <w:jc w:val="center"/>
              <w:rPr>
                <w:sz w:val="20"/>
                <w:szCs w:val="20"/>
              </w:rPr>
            </w:pPr>
            <w:r>
              <w:rPr>
                <w:rFonts w:hint="eastAsia"/>
                <w:sz w:val="20"/>
                <w:szCs w:val="20"/>
              </w:rPr>
              <w:t>刘利民</w:t>
            </w:r>
          </w:p>
        </w:tc>
        <w:tc>
          <w:tcPr>
            <w:tcW w:w="1241" w:type="dxa"/>
            <w:tcBorders>
              <w:top w:val="single" w:color="auto" w:sz="6" w:space="0"/>
              <w:left w:val="single" w:color="auto" w:sz="6" w:space="0"/>
              <w:bottom w:val="single" w:color="auto" w:sz="6" w:space="0"/>
              <w:right w:val="single" w:color="auto" w:sz="6" w:space="0"/>
            </w:tcBorders>
            <w:vAlign w:val="center"/>
          </w:tcPr>
          <w:p w14:paraId="661D30E5">
            <w:pPr>
              <w:pStyle w:val="13"/>
              <w:jc w:val="center"/>
              <w:rPr>
                <w:rStyle w:val="14"/>
                <w:sz w:val="20"/>
                <w:szCs w:val="20"/>
                <w:lang w:val="zh-CN"/>
              </w:rPr>
            </w:pPr>
            <w:r>
              <w:rPr>
                <w:rFonts w:hint="eastAsia"/>
                <w:sz w:val="20"/>
                <w:szCs w:val="20"/>
                <w:lang w:val="zh-CN"/>
              </w:rPr>
              <w:t>生效日期</w:t>
            </w:r>
          </w:p>
        </w:tc>
        <w:tc>
          <w:tcPr>
            <w:tcW w:w="1961" w:type="dxa"/>
            <w:tcBorders>
              <w:top w:val="single" w:color="auto" w:sz="6" w:space="0"/>
              <w:left w:val="single" w:color="auto" w:sz="6" w:space="0"/>
              <w:bottom w:val="single" w:color="auto" w:sz="6" w:space="0"/>
              <w:right w:val="single" w:color="auto" w:sz="6" w:space="0"/>
            </w:tcBorders>
            <w:vAlign w:val="center"/>
          </w:tcPr>
          <w:p w14:paraId="08E9A2D4">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9</w:t>
            </w:r>
            <w:r>
              <w:rPr>
                <w:rFonts w:hint="eastAsia"/>
                <w:sz w:val="20"/>
                <w:szCs w:val="20"/>
              </w:rPr>
              <w:t>-</w:t>
            </w:r>
            <w:r>
              <w:rPr>
                <w:sz w:val="20"/>
                <w:szCs w:val="20"/>
              </w:rPr>
              <w:t>01</w:t>
            </w:r>
          </w:p>
        </w:tc>
      </w:tr>
    </w:tbl>
    <w:p w14:paraId="6C4732C8">
      <w:pPr>
        <w:widowControl w:val="0"/>
        <w:spacing w:after="0"/>
        <w:jc w:val="center"/>
        <w:rPr>
          <w:rFonts w:ascii="宋体" w:hAnsi="宋体" w:eastAsia="宋体" w:cs="宋体"/>
          <w:kern w:val="2"/>
          <w:sz w:val="28"/>
          <w:szCs w:val="28"/>
          <w:lang w:bidi="ar"/>
        </w:rPr>
      </w:pPr>
    </w:p>
    <w:p w14:paraId="027417D9">
      <w:pPr>
        <w:pStyle w:val="2"/>
      </w:pPr>
      <w:bookmarkStart w:id="5" w:name="_Toc10622"/>
      <w:bookmarkStart w:id="6" w:name="_Toc18161"/>
      <w:bookmarkStart w:id="7" w:name="_Toc21937"/>
      <w:bookmarkStart w:id="8" w:name="_Toc13568"/>
      <w:bookmarkStart w:id="9" w:name="_Toc26873"/>
      <w:r>
        <w:rPr>
          <w:rFonts w:hint="eastAsia"/>
        </w:rPr>
        <w:t>利益冲突及伦理审核回避政策</w:t>
      </w:r>
      <w:bookmarkEnd w:id="5"/>
      <w:bookmarkEnd w:id="6"/>
      <w:bookmarkEnd w:id="7"/>
      <w:bookmarkEnd w:id="8"/>
      <w:bookmarkEnd w:id="9"/>
    </w:p>
    <w:p w14:paraId="3AC3969B">
      <w:pPr>
        <w:widowControl w:val="0"/>
        <w:spacing w:after="0" w:line="360" w:lineRule="auto"/>
        <w:jc w:val="both"/>
        <w:rPr>
          <w:rFonts w:ascii="宋体" w:hAnsi="宋体" w:eastAsia="宋体" w:cs="宋体"/>
          <w:b/>
          <w:kern w:val="2"/>
          <w:sz w:val="21"/>
          <w:szCs w:val="21"/>
        </w:rPr>
      </w:pPr>
      <w:r>
        <w:rPr>
          <w:rFonts w:hint="eastAsia" w:ascii="宋体" w:hAnsi="宋体" w:eastAsia="宋体" w:cs="宋体"/>
          <w:b/>
          <w:kern w:val="2"/>
          <w:sz w:val="21"/>
          <w:szCs w:val="21"/>
          <w:lang w:bidi="ar"/>
        </w:rPr>
        <w:t>一．利益冲突的定义</w:t>
      </w:r>
    </w:p>
    <w:p w14:paraId="7C7589AE">
      <w:pPr>
        <w:widowControl w:val="0"/>
        <w:spacing w:after="0" w:line="360" w:lineRule="auto"/>
        <w:ind w:firstLine="315" w:firstLineChars="150"/>
        <w:jc w:val="both"/>
        <w:rPr>
          <w:rFonts w:ascii="宋体" w:hAnsi="宋体" w:eastAsia="宋体" w:cs="宋体"/>
          <w:b/>
          <w:kern w:val="2"/>
          <w:sz w:val="21"/>
          <w:szCs w:val="21"/>
        </w:rPr>
      </w:pPr>
      <w:r>
        <w:rPr>
          <w:rFonts w:hint="eastAsia" w:ascii="宋体" w:hAnsi="宋体" w:eastAsia="宋体" w:cs="宋体"/>
          <w:kern w:val="2"/>
          <w:sz w:val="21"/>
          <w:szCs w:val="21"/>
          <w:lang w:bidi="ar"/>
        </w:rPr>
        <w:t>利益冲突是指个人的利益与其职责之间的冲突,即存在可能过分影响个人履行其职责的经济或其他的利益。当该利益不一定影响个人的判断,但可能导致个人的客观性受到他人质疑时,就存在明显的利益冲突。</w:t>
      </w:r>
    </w:p>
    <w:p w14:paraId="442FD318">
      <w:pPr>
        <w:widowControl w:val="0"/>
        <w:spacing w:after="0" w:line="360" w:lineRule="auto"/>
        <w:jc w:val="both"/>
        <w:rPr>
          <w:rFonts w:ascii="宋体" w:hAnsi="宋体" w:eastAsia="宋体" w:cs="宋体"/>
          <w:kern w:val="2"/>
          <w:sz w:val="21"/>
          <w:szCs w:val="21"/>
        </w:rPr>
      </w:pPr>
      <w:r>
        <w:rPr>
          <w:rFonts w:hint="eastAsia" w:ascii="宋体" w:hAnsi="宋体" w:eastAsia="宋体" w:cs="宋体"/>
          <w:b/>
          <w:kern w:val="2"/>
          <w:sz w:val="21"/>
          <w:szCs w:val="21"/>
          <w:lang w:bidi="ar"/>
        </w:rPr>
        <w:t>二  研究者的利益冲突</w:t>
      </w:r>
    </w:p>
    <w:p w14:paraId="79C2155C">
      <w:pPr>
        <w:widowControl w:val="0"/>
        <w:spacing w:after="0" w:line="360" w:lineRule="auto"/>
        <w:jc w:val="both"/>
        <w:rPr>
          <w:rFonts w:ascii="宋体" w:hAnsi="宋体" w:eastAsia="宋体" w:cs="宋体"/>
          <w:kern w:val="2"/>
          <w:sz w:val="21"/>
          <w:szCs w:val="21"/>
        </w:rPr>
      </w:pPr>
      <w:r>
        <w:rPr>
          <w:rFonts w:hint="eastAsia" w:ascii="宋体" w:hAnsi="宋体" w:eastAsia="宋体" w:cs="宋体"/>
          <w:kern w:val="2"/>
          <w:sz w:val="21"/>
          <w:szCs w:val="21"/>
          <w:lang w:bidi="ar"/>
        </w:rPr>
        <w:t>1. 经济利益的冲突：伦理审查应确认所有研究经费已明示入账,研究者不得私下收受申办者的酬劳费及其他费用。</w:t>
      </w:r>
    </w:p>
    <w:p w14:paraId="25BA5BDE">
      <w:pPr>
        <w:widowControl w:val="0"/>
        <w:spacing w:after="0" w:line="360" w:lineRule="auto"/>
        <w:jc w:val="both"/>
        <w:rPr>
          <w:rFonts w:ascii="宋体" w:hAnsi="宋体" w:eastAsia="宋体" w:cs="宋体"/>
          <w:kern w:val="2"/>
          <w:sz w:val="21"/>
          <w:szCs w:val="21"/>
        </w:rPr>
      </w:pPr>
      <w:r>
        <w:rPr>
          <w:rFonts w:hint="eastAsia" w:ascii="宋体" w:hAnsi="宋体" w:eastAsia="宋体" w:cs="宋体"/>
          <w:kern w:val="2"/>
          <w:sz w:val="21"/>
          <w:szCs w:val="21"/>
          <w:lang w:bidi="ar"/>
        </w:rPr>
        <w:t>2. 承担工作职责之间的冲突：伦理委员会应审查研究者是否有充分的时间参加审议中的临床试验。对该类冲突采用“限制参与”是最有效的处理方法。</w:t>
      </w:r>
    </w:p>
    <w:p w14:paraId="7963076C">
      <w:pPr>
        <w:widowControl w:val="0"/>
        <w:spacing w:after="0" w:line="360" w:lineRule="auto"/>
        <w:jc w:val="both"/>
        <w:rPr>
          <w:rFonts w:ascii="宋体" w:hAnsi="宋体" w:eastAsia="宋体" w:cs="宋体"/>
          <w:kern w:val="2"/>
          <w:sz w:val="21"/>
          <w:szCs w:val="21"/>
        </w:rPr>
      </w:pPr>
      <w:r>
        <w:rPr>
          <w:rFonts w:hint="eastAsia" w:ascii="宋体" w:hAnsi="宋体" w:eastAsia="宋体" w:cs="宋体"/>
          <w:kern w:val="2"/>
          <w:sz w:val="21"/>
          <w:szCs w:val="21"/>
          <w:lang w:bidi="ar"/>
        </w:rPr>
        <w:t>3. 双重角色之间的冲突：当研究者承担研究和医疗工作的双重角色之间的利益冲突可能影响</w:t>
      </w:r>
      <w:r>
        <w:rPr>
          <w:rFonts w:hint="eastAsia" w:ascii="宋体" w:hAnsi="宋体" w:eastAsia="宋体" w:cs="宋体"/>
          <w:kern w:val="2"/>
          <w:sz w:val="21"/>
          <w:szCs w:val="21"/>
          <w:lang w:eastAsia="zh-CN" w:bidi="ar"/>
        </w:rPr>
        <w:t>试验参与者</w:t>
      </w:r>
      <w:r>
        <w:rPr>
          <w:rFonts w:hint="eastAsia" w:ascii="宋体" w:hAnsi="宋体" w:eastAsia="宋体" w:cs="宋体"/>
          <w:kern w:val="2"/>
          <w:sz w:val="21"/>
          <w:szCs w:val="21"/>
          <w:lang w:bidi="ar"/>
        </w:rPr>
        <w:t>安全时,独立的、公正的伦理审查就显得极为重要。</w:t>
      </w:r>
    </w:p>
    <w:p w14:paraId="6720A7C7">
      <w:pPr>
        <w:widowControl w:val="0"/>
        <w:spacing w:after="0" w:line="360" w:lineRule="auto"/>
        <w:jc w:val="both"/>
        <w:rPr>
          <w:rFonts w:ascii="宋体" w:hAnsi="宋体" w:eastAsia="宋体" w:cs="宋体"/>
          <w:b/>
          <w:kern w:val="2"/>
          <w:sz w:val="21"/>
          <w:szCs w:val="21"/>
        </w:rPr>
      </w:pPr>
      <w:r>
        <w:rPr>
          <w:rFonts w:hint="eastAsia" w:ascii="宋体" w:hAnsi="宋体" w:eastAsia="宋体" w:cs="宋体"/>
          <w:b/>
          <w:kern w:val="2"/>
          <w:sz w:val="21"/>
          <w:szCs w:val="21"/>
          <w:lang w:bidi="ar"/>
        </w:rPr>
        <w:t>三．伦理委员会成员的利益冲突</w:t>
      </w:r>
    </w:p>
    <w:p w14:paraId="6AD16CB6">
      <w:pPr>
        <w:widowControl w:val="0"/>
        <w:spacing w:after="0" w:line="360" w:lineRule="auto"/>
        <w:jc w:val="both"/>
        <w:rPr>
          <w:rFonts w:ascii="宋体" w:hAnsi="宋体" w:eastAsia="宋体" w:cs="宋体"/>
          <w:kern w:val="2"/>
          <w:sz w:val="21"/>
          <w:szCs w:val="21"/>
        </w:rPr>
      </w:pPr>
      <w:r>
        <w:rPr>
          <w:rFonts w:hint="eastAsia" w:ascii="宋体" w:hAnsi="宋体" w:eastAsia="宋体" w:cs="宋体"/>
          <w:kern w:val="2"/>
          <w:sz w:val="21"/>
          <w:szCs w:val="21"/>
          <w:lang w:bidi="ar"/>
        </w:rPr>
        <w:t>1. 伦理委员会审查应符合独立、公正的原则。其成员可以因审查方案获得报酬,但是决不能因为批准一个方案而被付给或接受报酬。报酬应透明。</w:t>
      </w:r>
    </w:p>
    <w:p w14:paraId="7F445FC6">
      <w:pPr>
        <w:widowControl w:val="0"/>
        <w:spacing w:after="0" w:line="360" w:lineRule="auto"/>
        <w:jc w:val="both"/>
        <w:rPr>
          <w:rFonts w:ascii="宋体" w:hAnsi="宋体" w:eastAsia="宋体" w:cs="宋体"/>
          <w:kern w:val="2"/>
          <w:sz w:val="21"/>
          <w:szCs w:val="21"/>
          <w:lang w:bidi="ar"/>
        </w:rPr>
      </w:pPr>
      <w:r>
        <w:rPr>
          <w:rFonts w:hint="eastAsia" w:ascii="宋体" w:hAnsi="宋体" w:eastAsia="宋体" w:cs="宋体"/>
          <w:kern w:val="2"/>
          <w:sz w:val="21"/>
          <w:szCs w:val="21"/>
          <w:lang w:bidi="ar"/>
        </w:rPr>
        <w:t>2. 伦理委员会成员加入伦理委员会时必须签署利益声明。委员的个人利益与其职责之间存在利益冲突，该冲突的存在可能过分影响委员履行其职责的经济或其他的利益，当该利益不一定影响个人的判断，但可能导致委员的客观性受到他人质疑时,就存在明显的利益冲突。</w:t>
      </w:r>
    </w:p>
    <w:p w14:paraId="7D1B313A">
      <w:pPr>
        <w:widowControl w:val="0"/>
        <w:spacing w:after="0" w:line="360" w:lineRule="auto"/>
        <w:jc w:val="both"/>
        <w:rPr>
          <w:rFonts w:ascii="宋体" w:hAnsi="宋体" w:eastAsia="宋体" w:cs="宋体"/>
          <w:kern w:val="2"/>
          <w:sz w:val="21"/>
          <w:szCs w:val="21"/>
          <w:lang w:bidi="ar"/>
        </w:rPr>
      </w:pPr>
      <w:r>
        <w:rPr>
          <w:rFonts w:hint="eastAsia" w:ascii="宋体" w:hAnsi="宋体" w:eastAsia="宋体" w:cs="宋体"/>
          <w:kern w:val="2"/>
          <w:sz w:val="21"/>
          <w:szCs w:val="21"/>
          <w:lang w:bidi="ar"/>
        </w:rPr>
        <w:t xml:space="preserve">    若医学伦理委员会成员与试验项目申请人存在利害关系 （或该项目的实施对其有切身利害关系），该医学伦理委员会成员进入回避程序，不得参与该项目的审核工作。</w:t>
      </w:r>
    </w:p>
    <w:p w14:paraId="173C797B">
      <w:pPr>
        <w:widowControl w:val="0"/>
        <w:spacing w:after="0" w:line="360" w:lineRule="auto"/>
        <w:jc w:val="both"/>
        <w:rPr>
          <w:rFonts w:ascii="宋体" w:hAnsi="宋体" w:eastAsia="宋体" w:cs="宋体"/>
          <w:kern w:val="2"/>
          <w:sz w:val="21"/>
          <w:szCs w:val="21"/>
          <w:lang w:bidi="ar"/>
        </w:rPr>
      </w:pPr>
      <w:r>
        <w:rPr>
          <w:rFonts w:hint="eastAsia" w:ascii="宋体" w:hAnsi="宋体" w:eastAsia="宋体" w:cs="宋体"/>
          <w:kern w:val="2"/>
          <w:sz w:val="21"/>
          <w:szCs w:val="21"/>
          <w:lang w:bidi="ar"/>
        </w:rPr>
        <w:t>3.会议审查时，伦理委员会主任委员担任会议主持人。若主任委员与审查项目存在利益冲突，则应主动声明与回避，并授权副主任委员或一位委员担任临时主持人，直到本审查项目表决结束。审查过程中主持人提醒到会委员，如果与审查项目存在利益冲突，请主动声明。进入审查意见的讨论环节，申请人、独立顾问、与审查项目存在利益冲突的委员应离场。回避委员的投票单注明回避项目，该项目的批件/意见函标明回避委员姓名。</w:t>
      </w:r>
    </w:p>
    <w:p w14:paraId="060D1D75">
      <w:pPr>
        <w:widowControl w:val="0"/>
        <w:spacing w:after="0" w:line="360" w:lineRule="auto"/>
        <w:jc w:val="both"/>
        <w:rPr>
          <w:rFonts w:ascii="宋体" w:hAnsi="宋体" w:eastAsia="宋体" w:cs="宋体"/>
          <w:b/>
          <w:kern w:val="2"/>
          <w:sz w:val="21"/>
          <w:szCs w:val="21"/>
        </w:rPr>
      </w:pPr>
      <w:r>
        <w:rPr>
          <w:rFonts w:hint="eastAsia" w:ascii="宋体" w:hAnsi="宋体" w:eastAsia="宋体" w:cs="宋体"/>
          <w:b/>
          <w:kern w:val="2"/>
          <w:sz w:val="21"/>
          <w:szCs w:val="21"/>
          <w:lang w:bidi="ar"/>
        </w:rPr>
        <w:t>四. 试验参与者法定代理人的利益冲突</w:t>
      </w:r>
    </w:p>
    <w:p w14:paraId="402FC6B4">
      <w:pPr>
        <w:widowControl w:val="0"/>
        <w:spacing w:after="0" w:line="360" w:lineRule="auto"/>
        <w:ind w:firstLine="420" w:firstLineChars="200"/>
        <w:jc w:val="both"/>
        <w:rPr>
          <w:rFonts w:ascii="宋体" w:hAnsi="宋体" w:eastAsia="宋体" w:cs="宋体"/>
          <w:kern w:val="2"/>
          <w:sz w:val="21"/>
          <w:szCs w:val="21"/>
        </w:rPr>
      </w:pPr>
      <w:r>
        <w:rPr>
          <w:rFonts w:hint="eastAsia" w:ascii="宋体" w:hAnsi="宋体" w:eastAsia="宋体" w:cs="宋体"/>
          <w:kern w:val="2"/>
          <w:sz w:val="21"/>
          <w:szCs w:val="21"/>
          <w:lang w:bidi="ar"/>
        </w:rPr>
        <w:t>无行为能力的人容易被其</w:t>
      </w:r>
      <w:r>
        <w:rPr>
          <w:rFonts w:hint="eastAsia" w:ascii="宋体" w:hAnsi="宋体" w:eastAsia="宋体" w:cs="宋体"/>
          <w:b w:val="0"/>
          <w:kern w:val="2"/>
          <w:sz w:val="21"/>
          <w:szCs w:val="21"/>
          <w:u w:val="none"/>
          <w:lang w:bidi="ar"/>
        </w:rPr>
        <w:t>法定代理人</w:t>
      </w:r>
      <w:r>
        <w:rPr>
          <w:rFonts w:hint="eastAsia" w:ascii="宋体" w:hAnsi="宋体" w:eastAsia="宋体" w:cs="宋体"/>
          <w:kern w:val="2"/>
          <w:sz w:val="21"/>
          <w:szCs w:val="21"/>
          <w:u w:val="none"/>
          <w:lang w:bidi="ar"/>
        </w:rPr>
        <w:t>为经济获利而利用。当无行为能力者的</w:t>
      </w:r>
      <w:r>
        <w:rPr>
          <w:rFonts w:hint="eastAsia" w:ascii="宋体" w:hAnsi="宋体" w:eastAsia="宋体" w:cs="宋体"/>
          <w:b w:val="0"/>
          <w:kern w:val="2"/>
          <w:sz w:val="21"/>
          <w:szCs w:val="21"/>
          <w:u w:val="none"/>
          <w:lang w:bidi="ar"/>
        </w:rPr>
        <w:t>法定代理人</w:t>
      </w:r>
      <w:r>
        <w:rPr>
          <w:rFonts w:hint="eastAsia" w:ascii="宋体" w:hAnsi="宋体" w:eastAsia="宋体" w:cs="宋体"/>
          <w:kern w:val="2"/>
          <w:sz w:val="21"/>
          <w:szCs w:val="21"/>
          <w:u w:val="none"/>
          <w:lang w:bidi="ar"/>
        </w:rPr>
        <w:t>被要求给予其参加研究的许可,</w:t>
      </w:r>
      <w:r>
        <w:rPr>
          <w:rFonts w:hint="eastAsia" w:ascii="宋体" w:hAnsi="宋体" w:eastAsia="宋体" w:cs="宋体"/>
          <w:b w:val="0"/>
          <w:kern w:val="2"/>
          <w:sz w:val="21"/>
          <w:szCs w:val="21"/>
          <w:u w:val="none"/>
          <w:lang w:bidi="ar"/>
        </w:rPr>
        <w:t>法定代理人</w:t>
      </w:r>
      <w:r>
        <w:rPr>
          <w:rFonts w:hint="eastAsia" w:ascii="宋体" w:hAnsi="宋体" w:eastAsia="宋体" w:cs="宋体"/>
          <w:kern w:val="2"/>
          <w:sz w:val="21"/>
          <w:szCs w:val="21"/>
          <w:u w:val="none"/>
          <w:lang w:bidi="ar"/>
        </w:rPr>
        <w:t>除了交通费用和有关开支外不应得到</w:t>
      </w:r>
      <w:r>
        <w:rPr>
          <w:rFonts w:hint="eastAsia" w:ascii="宋体" w:hAnsi="宋体" w:eastAsia="宋体" w:cs="宋体"/>
          <w:kern w:val="2"/>
          <w:sz w:val="21"/>
          <w:szCs w:val="21"/>
          <w:u w:val="none"/>
          <w:lang w:eastAsia="zh-CN" w:bidi="ar"/>
        </w:rPr>
        <w:t>其他</w:t>
      </w:r>
      <w:r>
        <w:rPr>
          <w:rFonts w:hint="eastAsia" w:ascii="宋体" w:hAnsi="宋体" w:eastAsia="宋体" w:cs="宋体"/>
          <w:kern w:val="2"/>
          <w:sz w:val="21"/>
          <w:szCs w:val="21"/>
          <w:u w:val="none"/>
          <w:lang w:bidi="ar"/>
        </w:rPr>
        <w:t>补</w:t>
      </w:r>
      <w:r>
        <w:rPr>
          <w:rFonts w:hint="eastAsia" w:ascii="宋体" w:hAnsi="宋体" w:eastAsia="宋体" w:cs="宋体"/>
          <w:kern w:val="2"/>
          <w:sz w:val="21"/>
          <w:szCs w:val="21"/>
          <w:lang w:bidi="ar"/>
        </w:rPr>
        <w:t>偿。</w:t>
      </w:r>
    </w:p>
    <w:p w14:paraId="03E6BFE3">
      <w:pPr>
        <w:widowControl w:val="0"/>
        <w:spacing w:after="0" w:line="360" w:lineRule="auto"/>
        <w:jc w:val="both"/>
        <w:rPr>
          <w:rFonts w:ascii="宋体" w:hAnsi="宋体" w:eastAsia="宋体" w:cs="宋体"/>
          <w:b/>
          <w:kern w:val="2"/>
          <w:sz w:val="21"/>
          <w:szCs w:val="21"/>
        </w:rPr>
      </w:pPr>
      <w:r>
        <w:rPr>
          <w:rFonts w:hint="eastAsia" w:ascii="宋体" w:hAnsi="宋体" w:eastAsia="宋体" w:cs="宋体"/>
          <w:b/>
          <w:kern w:val="2"/>
          <w:sz w:val="21"/>
          <w:szCs w:val="21"/>
          <w:lang w:bidi="ar"/>
        </w:rPr>
        <w:t>五.与公开研究结果有关的利益冲突</w:t>
      </w:r>
    </w:p>
    <w:p w14:paraId="465C086F">
      <w:pPr>
        <w:widowControl w:val="0"/>
        <w:spacing w:after="0" w:line="360" w:lineRule="auto"/>
        <w:ind w:firstLine="315" w:firstLineChars="150"/>
        <w:jc w:val="both"/>
        <w:rPr>
          <w:rFonts w:ascii="宋体" w:hAnsi="宋体" w:eastAsia="宋体" w:cs="宋体"/>
          <w:kern w:val="2"/>
          <w:sz w:val="21"/>
          <w:szCs w:val="21"/>
        </w:rPr>
      </w:pPr>
      <w:r>
        <w:rPr>
          <w:rFonts w:hint="eastAsia" w:ascii="宋体" w:hAnsi="宋体" w:eastAsia="宋体" w:cs="宋体"/>
          <w:kern w:val="2"/>
          <w:sz w:val="21"/>
          <w:szCs w:val="21"/>
          <w:lang w:bidi="ar"/>
        </w:rPr>
        <w:t>伦理审查应确认研究报告的文稿要有主要研究者参与,并服从主要研究者的意见,应审查试验合同规定谁拥有发表研究结果的权力,确认阳性和阴性结果都应发表，或用其他办法公开。</w:t>
      </w:r>
    </w:p>
    <w:p w14:paraId="53BC612A">
      <w:pPr>
        <w:widowControl w:val="0"/>
        <w:spacing w:after="0" w:line="360" w:lineRule="auto"/>
        <w:jc w:val="both"/>
        <w:rPr>
          <w:rFonts w:ascii="宋体" w:hAnsi="宋体" w:eastAsia="宋体" w:cs="宋体"/>
          <w:b/>
          <w:kern w:val="2"/>
          <w:sz w:val="21"/>
          <w:szCs w:val="21"/>
        </w:rPr>
      </w:pPr>
      <w:r>
        <w:rPr>
          <w:rFonts w:hint="eastAsia" w:ascii="宋体" w:hAnsi="宋体" w:eastAsia="宋体" w:cs="宋体"/>
          <w:b/>
          <w:kern w:val="2"/>
          <w:sz w:val="21"/>
          <w:szCs w:val="21"/>
          <w:lang w:bidi="ar"/>
        </w:rPr>
        <w:t>六.利益冲突的处理策略</w:t>
      </w:r>
    </w:p>
    <w:p w14:paraId="7CE87619">
      <w:pPr>
        <w:widowControl w:val="0"/>
        <w:spacing w:after="0" w:line="360" w:lineRule="auto"/>
        <w:jc w:val="both"/>
        <w:rPr>
          <w:rFonts w:ascii="宋体" w:hAnsi="宋体" w:eastAsia="宋体" w:cs="宋体"/>
          <w:kern w:val="2"/>
          <w:sz w:val="21"/>
          <w:szCs w:val="21"/>
        </w:rPr>
      </w:pPr>
      <w:r>
        <w:rPr>
          <w:rFonts w:hint="eastAsia" w:ascii="宋体" w:hAnsi="宋体" w:eastAsia="宋体" w:cs="宋体"/>
          <w:kern w:val="2"/>
          <w:sz w:val="21"/>
          <w:szCs w:val="21"/>
          <w:lang w:bidi="ar"/>
        </w:rPr>
        <w:t>1. 公开：研究者、伦理委员会成员均应公开可能被认为与研究有冲突的经济利益。</w:t>
      </w:r>
    </w:p>
    <w:p w14:paraId="7D07A838">
      <w:pPr>
        <w:widowControl w:val="0"/>
        <w:spacing w:after="0" w:line="360" w:lineRule="auto"/>
        <w:jc w:val="both"/>
        <w:rPr>
          <w:rFonts w:ascii="宋体" w:hAnsi="宋体" w:eastAsia="宋体" w:cs="宋体"/>
          <w:kern w:val="2"/>
          <w:sz w:val="21"/>
          <w:szCs w:val="21"/>
        </w:rPr>
      </w:pPr>
      <w:r>
        <w:rPr>
          <w:rFonts w:hint="eastAsia" w:ascii="宋体" w:hAnsi="宋体" w:eastAsia="宋体" w:cs="宋体"/>
          <w:kern w:val="2"/>
          <w:sz w:val="21"/>
          <w:szCs w:val="21"/>
          <w:lang w:bidi="ar"/>
        </w:rPr>
        <w:t>2. 审查：伦理委员会对利益声明加以评估，以确定该利益是否构成值得重视的、真正的、明显的或潜在的利益冲突。</w:t>
      </w:r>
    </w:p>
    <w:p w14:paraId="29CD7863">
      <w:pPr>
        <w:widowControl w:val="0"/>
        <w:spacing w:after="0" w:line="360" w:lineRule="auto"/>
        <w:jc w:val="both"/>
        <w:rPr>
          <w:rFonts w:ascii="宋体" w:hAnsi="宋体" w:eastAsia="宋体" w:cs="宋体"/>
          <w:kern w:val="2"/>
          <w:sz w:val="21"/>
          <w:szCs w:val="21"/>
        </w:rPr>
      </w:pPr>
      <w:r>
        <w:rPr>
          <w:rFonts w:hint="eastAsia" w:ascii="宋体" w:hAnsi="宋体" w:eastAsia="宋体" w:cs="宋体"/>
          <w:kern w:val="2"/>
          <w:sz w:val="21"/>
          <w:szCs w:val="21"/>
          <w:lang w:bidi="ar"/>
        </w:rPr>
        <w:t>3. 限制：实质性地限制一些行为。例如,不允许有重大经济利益冲突的研究者直接向试验参与者获取知情同意；禁止临床试验主要研究者在试验申办者处拥有净资产；禁止研究者私下收受申办者的馈赠；满负荷或超负荷工作的研究者，限制其参加试验或限制研究者的其他工作量，以保证参与试验的研究者有充分的时间。如果利益冲突会干扰伦理委员会成员的客观判断，他就不应参加伦理审查或从会议决定程序中退出。</w:t>
      </w:r>
    </w:p>
    <w:p w14:paraId="4A90342C">
      <w:pPr>
        <w:widowControl w:val="0"/>
        <w:spacing w:after="0" w:line="360" w:lineRule="auto"/>
        <w:jc w:val="both"/>
        <w:rPr>
          <w:rFonts w:ascii="宋体" w:hAnsi="宋体" w:eastAsia="宋体" w:cs="宋体"/>
          <w:kern w:val="2"/>
          <w:sz w:val="21"/>
          <w:szCs w:val="21"/>
          <w:lang w:bidi="ar"/>
        </w:rPr>
      </w:pPr>
      <w:r>
        <w:rPr>
          <w:rFonts w:hint="eastAsia" w:ascii="宋体" w:hAnsi="宋体" w:eastAsia="宋体" w:cs="宋体"/>
          <w:kern w:val="2"/>
          <w:sz w:val="21"/>
          <w:szCs w:val="21"/>
          <w:lang w:bidi="ar"/>
        </w:rPr>
        <w:t>4. 伦理道德培训：研究者和伦理委员会成员应该对利益冲突保持敏感，并参加利益冲突相关知识及道德纯洁性的培训。</w:t>
      </w:r>
    </w:p>
    <w:p w14:paraId="192E5D65">
      <w:pPr>
        <w:widowControl w:val="0"/>
        <w:spacing w:after="0" w:line="360" w:lineRule="auto"/>
        <w:jc w:val="both"/>
        <w:rPr>
          <w:rFonts w:ascii="宋体" w:hAnsi="宋体" w:eastAsia="宋体" w:cs="宋体"/>
          <w:kern w:val="2"/>
          <w:sz w:val="21"/>
          <w:szCs w:val="21"/>
          <w:lang w:bidi="ar"/>
        </w:rPr>
      </w:pPr>
      <w:r>
        <w:rPr>
          <w:rFonts w:hint="eastAsia" w:ascii="宋体" w:hAnsi="宋体" w:eastAsia="宋体" w:cs="宋体"/>
          <w:kern w:val="2"/>
          <w:sz w:val="21"/>
          <w:szCs w:val="21"/>
          <w:lang w:bidi="ar"/>
        </w:rPr>
        <w:t>5. 上述人员均应接受监督，鼓励任何人监督并报告任何可能导致利益冲突的情况。</w:t>
      </w:r>
    </w:p>
    <w:p w14:paraId="22C1A444">
      <w:pPr>
        <w:spacing w:line="360" w:lineRule="auto"/>
        <w:rPr>
          <w:rStyle w:val="22"/>
          <w:rFonts w:hAnsi="Calibri"/>
          <w:sz w:val="21"/>
          <w:szCs w:val="21"/>
        </w:rPr>
        <w:sectPr>
          <w:pgSz w:w="11906" w:h="16838"/>
          <w:pgMar w:top="1440" w:right="1800" w:bottom="1440" w:left="1800" w:header="851" w:footer="992" w:gutter="0"/>
          <w:pgNumType w:fmt="numberInDash" w:chapStyle="1"/>
          <w:cols w:space="720" w:num="1"/>
          <w:docGrid w:type="lines" w:linePitch="312" w:charSpace="0"/>
        </w:sectPr>
      </w:pPr>
    </w:p>
    <w:tbl>
      <w:tblPr>
        <w:tblStyle w:val="7"/>
        <w:tblW w:w="8544" w:type="dxa"/>
        <w:tblInd w:w="40" w:type="dxa"/>
        <w:tblLayout w:type="fixed"/>
        <w:tblCellMar>
          <w:top w:w="0" w:type="dxa"/>
          <w:left w:w="40" w:type="dxa"/>
          <w:bottom w:w="0" w:type="dxa"/>
          <w:right w:w="40" w:type="dxa"/>
        </w:tblCellMar>
      </w:tblPr>
      <w:tblGrid>
        <w:gridCol w:w="2358"/>
        <w:gridCol w:w="2958"/>
        <w:gridCol w:w="1251"/>
        <w:gridCol w:w="1977"/>
      </w:tblGrid>
      <w:tr w14:paraId="2D0DA2D8">
        <w:tblPrEx>
          <w:tblCellMar>
            <w:top w:w="0" w:type="dxa"/>
            <w:left w:w="40" w:type="dxa"/>
            <w:bottom w:w="0" w:type="dxa"/>
            <w:right w:w="40" w:type="dxa"/>
          </w:tblCellMar>
        </w:tblPrEx>
        <w:trPr>
          <w:trHeight w:val="517" w:hRule="atLeast"/>
        </w:trPr>
        <w:tc>
          <w:tcPr>
            <w:tcW w:w="5274" w:type="dxa"/>
            <w:gridSpan w:val="2"/>
            <w:vMerge w:val="restart"/>
            <w:tcBorders>
              <w:top w:val="single" w:color="auto" w:sz="6" w:space="0"/>
              <w:left w:val="single" w:color="auto" w:sz="6" w:space="0"/>
              <w:right w:val="single" w:color="auto" w:sz="6" w:space="0"/>
            </w:tcBorders>
            <w:shd w:val="clear" w:color="auto" w:fill="auto"/>
            <w:vAlign w:val="center"/>
          </w:tcPr>
          <w:p w14:paraId="79C77D7F">
            <w:pPr>
              <w:pStyle w:val="13"/>
              <w:ind w:right="900" w:firstLine="360" w:firstLineChars="150"/>
              <w:jc w:val="center"/>
              <w:rPr>
                <w:rStyle w:val="14"/>
                <w:sz w:val="24"/>
                <w:szCs w:val="24"/>
                <w:lang w:val="zh-CN"/>
              </w:rPr>
            </w:pPr>
            <w:r>
              <w:rPr>
                <w:rStyle w:val="14"/>
                <w:rFonts w:hint="eastAsia"/>
                <w:sz w:val="24"/>
                <w:szCs w:val="24"/>
                <w:lang w:val="zh-CN"/>
              </w:rPr>
              <w:t>邵逸夫医院医学伦理委员会</w:t>
            </w:r>
            <w:r>
              <w:rPr>
                <w:rStyle w:val="14"/>
                <w:rFonts w:hint="eastAsia"/>
                <w:sz w:val="24"/>
                <w:szCs w:val="24"/>
              </w:rPr>
              <w:t>-</w:t>
            </w:r>
            <w:r>
              <w:rPr>
                <w:rStyle w:val="14"/>
                <w:rFonts w:hint="eastAsia"/>
                <w:sz w:val="24"/>
                <w:szCs w:val="24"/>
                <w:lang w:val="zh-CN"/>
              </w:rPr>
              <w:t>制度</w:t>
            </w:r>
          </w:p>
        </w:tc>
        <w:tc>
          <w:tcPr>
            <w:tcW w:w="1241" w:type="dxa"/>
            <w:tcBorders>
              <w:top w:val="single" w:color="auto" w:sz="6" w:space="0"/>
              <w:left w:val="single" w:color="auto" w:sz="6" w:space="0"/>
              <w:bottom w:val="nil"/>
              <w:right w:val="single" w:color="auto" w:sz="6" w:space="0"/>
            </w:tcBorders>
            <w:shd w:val="clear" w:color="auto" w:fill="auto"/>
            <w:vAlign w:val="center"/>
          </w:tcPr>
          <w:p w14:paraId="75266533">
            <w:pPr>
              <w:pStyle w:val="13"/>
              <w:jc w:val="center"/>
              <w:rPr>
                <w:rStyle w:val="14"/>
                <w:sz w:val="20"/>
                <w:szCs w:val="20"/>
                <w:lang w:val="zh-CN"/>
              </w:rPr>
            </w:pPr>
            <w:r>
              <w:rPr>
                <w:rStyle w:val="14"/>
                <w:rFonts w:hint="eastAsia"/>
                <w:sz w:val="20"/>
                <w:szCs w:val="20"/>
                <w:lang w:val="zh-CN"/>
              </w:rPr>
              <w:t>文件编号</w:t>
            </w:r>
          </w:p>
        </w:tc>
        <w:tc>
          <w:tcPr>
            <w:tcW w:w="1961" w:type="dxa"/>
            <w:tcBorders>
              <w:top w:val="single" w:color="auto" w:sz="6" w:space="0"/>
              <w:left w:val="single" w:color="auto" w:sz="6" w:space="0"/>
              <w:right w:val="single" w:color="auto" w:sz="6" w:space="0"/>
            </w:tcBorders>
            <w:shd w:val="clear" w:color="auto" w:fill="auto"/>
            <w:vAlign w:val="center"/>
          </w:tcPr>
          <w:p w14:paraId="5D053D4D">
            <w:pPr>
              <w:pStyle w:val="15"/>
              <w:jc w:val="center"/>
              <w:rPr>
                <w:sz w:val="20"/>
                <w:szCs w:val="20"/>
              </w:rPr>
            </w:pPr>
            <w:r>
              <w:rPr>
                <w:rFonts w:hint="eastAsia"/>
                <w:sz w:val="20"/>
                <w:szCs w:val="20"/>
              </w:rPr>
              <w:t>IRB-ZZ-03/</w:t>
            </w:r>
            <w:r>
              <w:rPr>
                <w:sz w:val="20"/>
                <w:szCs w:val="20"/>
              </w:rPr>
              <w:t>6</w:t>
            </w:r>
            <w:r>
              <w:rPr>
                <w:rFonts w:hint="eastAsia"/>
                <w:sz w:val="20"/>
                <w:szCs w:val="20"/>
              </w:rPr>
              <w:t>.0</w:t>
            </w:r>
          </w:p>
        </w:tc>
      </w:tr>
      <w:tr w14:paraId="7AC62AF0">
        <w:tblPrEx>
          <w:tblCellMar>
            <w:top w:w="0" w:type="dxa"/>
            <w:left w:w="40" w:type="dxa"/>
            <w:bottom w:w="0" w:type="dxa"/>
            <w:right w:w="40" w:type="dxa"/>
          </w:tblCellMar>
        </w:tblPrEx>
        <w:trPr>
          <w:trHeight w:val="291" w:hRule="atLeast"/>
        </w:trPr>
        <w:tc>
          <w:tcPr>
            <w:tcW w:w="5274" w:type="dxa"/>
            <w:gridSpan w:val="2"/>
            <w:vMerge w:val="continue"/>
            <w:tcBorders>
              <w:left w:val="single" w:color="auto" w:sz="6" w:space="0"/>
              <w:bottom w:val="single" w:color="auto" w:sz="6" w:space="0"/>
              <w:right w:val="single" w:color="auto" w:sz="6" w:space="0"/>
            </w:tcBorders>
            <w:shd w:val="clear" w:color="auto" w:fill="auto"/>
            <w:vAlign w:val="center"/>
          </w:tcPr>
          <w:p w14:paraId="7F2CF336">
            <w:pPr>
              <w:pStyle w:val="16"/>
              <w:jc w:val="center"/>
              <w:rPr>
                <w:sz w:val="20"/>
                <w:szCs w:val="20"/>
              </w:rPr>
            </w:pPr>
          </w:p>
        </w:tc>
        <w:tc>
          <w:tcPr>
            <w:tcW w:w="1241" w:type="dxa"/>
            <w:tcBorders>
              <w:top w:val="single" w:color="auto" w:sz="6" w:space="0"/>
              <w:left w:val="single" w:color="auto" w:sz="6" w:space="0"/>
              <w:bottom w:val="single" w:color="auto" w:sz="6" w:space="0"/>
              <w:right w:val="single" w:color="auto" w:sz="6" w:space="0"/>
            </w:tcBorders>
            <w:shd w:val="clear" w:color="auto" w:fill="auto"/>
            <w:vAlign w:val="center"/>
          </w:tcPr>
          <w:p w14:paraId="7A7B480A">
            <w:pPr>
              <w:pStyle w:val="13"/>
              <w:jc w:val="center"/>
              <w:rPr>
                <w:rStyle w:val="14"/>
                <w:sz w:val="20"/>
                <w:szCs w:val="20"/>
                <w:lang w:val="zh-CN"/>
              </w:rPr>
            </w:pPr>
            <w:r>
              <w:rPr>
                <w:rStyle w:val="14"/>
                <w:rFonts w:hint="eastAsia"/>
                <w:sz w:val="20"/>
                <w:szCs w:val="20"/>
                <w:lang w:val="zh-CN"/>
              </w:rPr>
              <w:t>版本号</w:t>
            </w:r>
          </w:p>
        </w:tc>
        <w:tc>
          <w:tcPr>
            <w:tcW w:w="1961" w:type="dxa"/>
            <w:tcBorders>
              <w:top w:val="single" w:color="auto" w:sz="6" w:space="0"/>
              <w:left w:val="single" w:color="auto" w:sz="6" w:space="0"/>
              <w:bottom w:val="single" w:color="auto" w:sz="6" w:space="0"/>
              <w:right w:val="single" w:color="auto" w:sz="6" w:space="0"/>
            </w:tcBorders>
            <w:shd w:val="clear" w:color="auto" w:fill="auto"/>
            <w:vAlign w:val="center"/>
          </w:tcPr>
          <w:p w14:paraId="66879759">
            <w:pPr>
              <w:pStyle w:val="15"/>
              <w:jc w:val="center"/>
              <w:rPr>
                <w:sz w:val="20"/>
                <w:szCs w:val="20"/>
              </w:rPr>
            </w:pPr>
            <w:r>
              <w:rPr>
                <w:sz w:val="20"/>
                <w:szCs w:val="20"/>
              </w:rPr>
              <w:t>6</w:t>
            </w:r>
            <w:r>
              <w:rPr>
                <w:rFonts w:hint="eastAsia"/>
                <w:sz w:val="20"/>
                <w:szCs w:val="20"/>
              </w:rPr>
              <w:t>.0</w:t>
            </w:r>
          </w:p>
        </w:tc>
      </w:tr>
      <w:tr w14:paraId="2AC80D7A">
        <w:tblPrEx>
          <w:tblCellMar>
            <w:top w:w="0" w:type="dxa"/>
            <w:left w:w="40" w:type="dxa"/>
            <w:bottom w:w="0" w:type="dxa"/>
            <w:right w:w="40" w:type="dxa"/>
          </w:tblCellMar>
        </w:tblPrEx>
        <w:trPr>
          <w:trHeight w:val="597" w:hRule="atLeast"/>
        </w:trPr>
        <w:tc>
          <w:tcPr>
            <w:tcW w:w="2340" w:type="dxa"/>
            <w:tcBorders>
              <w:top w:val="single" w:color="auto" w:sz="6" w:space="0"/>
              <w:left w:val="single" w:color="auto" w:sz="6" w:space="0"/>
              <w:bottom w:val="single" w:color="auto" w:sz="6" w:space="0"/>
              <w:right w:val="single" w:color="auto" w:sz="6" w:space="0"/>
            </w:tcBorders>
            <w:shd w:val="clear" w:color="auto" w:fill="auto"/>
            <w:vAlign w:val="center"/>
          </w:tcPr>
          <w:p w14:paraId="1F6A31D3">
            <w:pPr>
              <w:pStyle w:val="13"/>
              <w:ind w:right="437" w:firstLine="700" w:firstLineChars="350"/>
              <w:jc w:val="center"/>
              <w:rPr>
                <w:rStyle w:val="14"/>
                <w:sz w:val="20"/>
                <w:szCs w:val="20"/>
                <w:lang w:val="zh-CN"/>
              </w:rPr>
            </w:pPr>
            <w:r>
              <w:rPr>
                <w:rStyle w:val="14"/>
                <w:rFonts w:hint="eastAsia"/>
                <w:sz w:val="20"/>
                <w:szCs w:val="20"/>
                <w:lang w:val="zh-CN"/>
              </w:rPr>
              <w:t>编写者</w:t>
            </w:r>
          </w:p>
        </w:tc>
        <w:tc>
          <w:tcPr>
            <w:tcW w:w="2934" w:type="dxa"/>
            <w:tcBorders>
              <w:top w:val="single" w:color="auto" w:sz="6" w:space="0"/>
              <w:left w:val="single" w:color="auto" w:sz="6" w:space="0"/>
              <w:bottom w:val="single" w:color="auto" w:sz="6" w:space="0"/>
              <w:right w:val="single" w:color="auto" w:sz="6" w:space="0"/>
            </w:tcBorders>
            <w:shd w:val="clear" w:color="auto" w:fill="auto"/>
            <w:vAlign w:val="center"/>
          </w:tcPr>
          <w:p w14:paraId="48063036">
            <w:pPr>
              <w:pStyle w:val="16"/>
              <w:ind w:firstLine="1200" w:firstLineChars="600"/>
              <w:jc w:val="both"/>
              <w:rPr>
                <w:sz w:val="20"/>
                <w:szCs w:val="20"/>
              </w:rPr>
            </w:pPr>
            <w:r>
              <w:rPr>
                <w:rFonts w:hint="eastAsia"/>
                <w:sz w:val="20"/>
                <w:szCs w:val="20"/>
              </w:rPr>
              <w:t>许鸣、杨漾池</w:t>
            </w:r>
          </w:p>
        </w:tc>
        <w:tc>
          <w:tcPr>
            <w:tcW w:w="1241" w:type="dxa"/>
            <w:tcBorders>
              <w:top w:val="single" w:color="auto" w:sz="6" w:space="0"/>
              <w:left w:val="single" w:color="auto" w:sz="6" w:space="0"/>
              <w:bottom w:val="single" w:color="auto" w:sz="6" w:space="0"/>
              <w:right w:val="single" w:color="auto" w:sz="6" w:space="0"/>
            </w:tcBorders>
            <w:shd w:val="clear" w:color="auto" w:fill="auto"/>
            <w:vAlign w:val="center"/>
          </w:tcPr>
          <w:p w14:paraId="3074692D">
            <w:pPr>
              <w:pStyle w:val="13"/>
              <w:jc w:val="center"/>
              <w:rPr>
                <w:rStyle w:val="14"/>
                <w:sz w:val="20"/>
                <w:szCs w:val="20"/>
                <w:lang w:val="zh-CN"/>
              </w:rPr>
            </w:pPr>
            <w:r>
              <w:rPr>
                <w:rFonts w:hint="eastAsia"/>
                <w:sz w:val="20"/>
                <w:szCs w:val="20"/>
                <w:lang w:val="zh-CN"/>
              </w:rPr>
              <w:t>版本日期</w:t>
            </w:r>
          </w:p>
        </w:tc>
        <w:tc>
          <w:tcPr>
            <w:tcW w:w="1961" w:type="dxa"/>
            <w:tcBorders>
              <w:top w:val="single" w:color="auto" w:sz="6" w:space="0"/>
              <w:left w:val="single" w:color="auto" w:sz="6" w:space="0"/>
              <w:bottom w:val="single" w:color="auto" w:sz="6" w:space="0"/>
              <w:right w:val="single" w:color="auto" w:sz="6" w:space="0"/>
            </w:tcBorders>
            <w:shd w:val="clear" w:color="auto" w:fill="auto"/>
            <w:vAlign w:val="center"/>
          </w:tcPr>
          <w:p w14:paraId="7CF3A9DA">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8</w:t>
            </w:r>
            <w:r>
              <w:rPr>
                <w:rFonts w:hint="eastAsia"/>
                <w:sz w:val="20"/>
                <w:szCs w:val="20"/>
              </w:rPr>
              <w:t>-</w:t>
            </w:r>
            <w:r>
              <w:rPr>
                <w:sz w:val="20"/>
                <w:szCs w:val="20"/>
              </w:rPr>
              <w:t>15</w:t>
            </w:r>
          </w:p>
        </w:tc>
      </w:tr>
      <w:tr w14:paraId="685DDA15">
        <w:tblPrEx>
          <w:tblCellMar>
            <w:top w:w="0" w:type="dxa"/>
            <w:left w:w="40" w:type="dxa"/>
            <w:bottom w:w="0" w:type="dxa"/>
            <w:right w:w="40" w:type="dxa"/>
          </w:tblCellMar>
        </w:tblPrEx>
        <w:trPr>
          <w:trHeight w:val="604" w:hRule="atLeast"/>
        </w:trPr>
        <w:tc>
          <w:tcPr>
            <w:tcW w:w="2340" w:type="dxa"/>
            <w:tcBorders>
              <w:top w:val="single" w:color="auto" w:sz="6" w:space="0"/>
              <w:left w:val="single" w:color="auto" w:sz="6" w:space="0"/>
              <w:bottom w:val="single" w:color="auto" w:sz="6" w:space="0"/>
              <w:right w:val="single" w:color="auto" w:sz="6" w:space="0"/>
            </w:tcBorders>
            <w:shd w:val="clear" w:color="auto" w:fill="auto"/>
            <w:vAlign w:val="center"/>
          </w:tcPr>
          <w:p w14:paraId="57B9CFC5">
            <w:pPr>
              <w:pStyle w:val="13"/>
              <w:ind w:right="435" w:firstLine="700" w:firstLineChars="350"/>
              <w:jc w:val="center"/>
              <w:rPr>
                <w:rStyle w:val="14"/>
                <w:sz w:val="20"/>
                <w:szCs w:val="20"/>
                <w:lang w:val="zh-CN"/>
              </w:rPr>
            </w:pPr>
            <w:r>
              <w:rPr>
                <w:rStyle w:val="14"/>
                <w:rFonts w:hint="eastAsia"/>
                <w:sz w:val="20"/>
                <w:szCs w:val="20"/>
                <w:lang w:val="zh-CN"/>
              </w:rPr>
              <w:t>审核者</w:t>
            </w:r>
          </w:p>
        </w:tc>
        <w:tc>
          <w:tcPr>
            <w:tcW w:w="2934" w:type="dxa"/>
            <w:tcBorders>
              <w:top w:val="single" w:color="auto" w:sz="6" w:space="0"/>
              <w:left w:val="single" w:color="auto" w:sz="6" w:space="0"/>
              <w:bottom w:val="single" w:color="auto" w:sz="6" w:space="0"/>
              <w:right w:val="single" w:color="auto" w:sz="6" w:space="0"/>
            </w:tcBorders>
            <w:shd w:val="clear" w:color="auto" w:fill="auto"/>
            <w:vAlign w:val="center"/>
          </w:tcPr>
          <w:p w14:paraId="0E64993A">
            <w:pPr>
              <w:pStyle w:val="16"/>
              <w:jc w:val="center"/>
              <w:rPr>
                <w:sz w:val="20"/>
                <w:szCs w:val="20"/>
              </w:rPr>
            </w:pPr>
            <w:r>
              <w:rPr>
                <w:rFonts w:hint="eastAsia"/>
                <w:sz w:val="20"/>
                <w:szCs w:val="20"/>
              </w:rPr>
              <w:t>王青青</w:t>
            </w:r>
          </w:p>
        </w:tc>
        <w:tc>
          <w:tcPr>
            <w:tcW w:w="1241" w:type="dxa"/>
            <w:tcBorders>
              <w:top w:val="single" w:color="auto" w:sz="6" w:space="0"/>
              <w:left w:val="single" w:color="auto" w:sz="6" w:space="0"/>
              <w:bottom w:val="single" w:color="auto" w:sz="6" w:space="0"/>
              <w:right w:val="single" w:color="auto" w:sz="6" w:space="0"/>
            </w:tcBorders>
            <w:shd w:val="clear" w:color="auto" w:fill="auto"/>
            <w:vAlign w:val="center"/>
          </w:tcPr>
          <w:p w14:paraId="445705AF">
            <w:pPr>
              <w:pStyle w:val="13"/>
              <w:jc w:val="center"/>
              <w:rPr>
                <w:rStyle w:val="14"/>
                <w:sz w:val="20"/>
                <w:szCs w:val="20"/>
                <w:lang w:val="zh-CN"/>
              </w:rPr>
            </w:pPr>
            <w:r>
              <w:rPr>
                <w:rFonts w:hint="eastAsia"/>
                <w:sz w:val="20"/>
                <w:szCs w:val="20"/>
                <w:lang w:val="zh-CN"/>
              </w:rPr>
              <w:t>批准日期</w:t>
            </w:r>
          </w:p>
        </w:tc>
        <w:tc>
          <w:tcPr>
            <w:tcW w:w="1961" w:type="dxa"/>
            <w:tcBorders>
              <w:top w:val="single" w:color="auto" w:sz="6" w:space="0"/>
              <w:left w:val="single" w:color="auto" w:sz="6" w:space="0"/>
              <w:bottom w:val="single" w:color="auto" w:sz="6" w:space="0"/>
              <w:right w:val="single" w:color="auto" w:sz="6" w:space="0"/>
            </w:tcBorders>
            <w:shd w:val="clear" w:color="auto" w:fill="auto"/>
            <w:vAlign w:val="center"/>
          </w:tcPr>
          <w:p w14:paraId="5981EC94">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8</w:t>
            </w:r>
            <w:r>
              <w:rPr>
                <w:rFonts w:hint="eastAsia"/>
                <w:sz w:val="20"/>
                <w:szCs w:val="20"/>
              </w:rPr>
              <w:t>-</w:t>
            </w:r>
            <w:r>
              <w:rPr>
                <w:sz w:val="20"/>
                <w:szCs w:val="20"/>
              </w:rPr>
              <w:t>20</w:t>
            </w:r>
          </w:p>
        </w:tc>
      </w:tr>
      <w:tr w14:paraId="6C46B152">
        <w:tblPrEx>
          <w:tblCellMar>
            <w:top w:w="0" w:type="dxa"/>
            <w:left w:w="40" w:type="dxa"/>
            <w:bottom w:w="0" w:type="dxa"/>
            <w:right w:w="40" w:type="dxa"/>
          </w:tblCellMar>
        </w:tblPrEx>
        <w:trPr>
          <w:trHeight w:val="612" w:hRule="atLeast"/>
        </w:trPr>
        <w:tc>
          <w:tcPr>
            <w:tcW w:w="2340" w:type="dxa"/>
            <w:tcBorders>
              <w:top w:val="single" w:color="auto" w:sz="6" w:space="0"/>
              <w:left w:val="single" w:color="auto" w:sz="6" w:space="0"/>
              <w:bottom w:val="single" w:color="auto" w:sz="6" w:space="0"/>
              <w:right w:val="single" w:color="auto" w:sz="6" w:space="0"/>
            </w:tcBorders>
            <w:shd w:val="clear" w:color="auto" w:fill="auto"/>
            <w:vAlign w:val="center"/>
          </w:tcPr>
          <w:p w14:paraId="73843C2E">
            <w:pPr>
              <w:pStyle w:val="13"/>
              <w:ind w:right="435" w:firstLine="700" w:firstLineChars="350"/>
              <w:jc w:val="center"/>
              <w:rPr>
                <w:rStyle w:val="14"/>
                <w:sz w:val="20"/>
                <w:szCs w:val="20"/>
                <w:lang w:val="zh-CN"/>
              </w:rPr>
            </w:pPr>
            <w:r>
              <w:rPr>
                <w:rStyle w:val="14"/>
                <w:rFonts w:hint="eastAsia"/>
                <w:sz w:val="20"/>
                <w:szCs w:val="20"/>
                <w:lang w:val="zh-CN"/>
              </w:rPr>
              <w:t>批准者</w:t>
            </w:r>
          </w:p>
        </w:tc>
        <w:tc>
          <w:tcPr>
            <w:tcW w:w="2934" w:type="dxa"/>
            <w:tcBorders>
              <w:top w:val="single" w:color="auto" w:sz="6" w:space="0"/>
              <w:left w:val="single" w:color="auto" w:sz="6" w:space="0"/>
              <w:bottom w:val="single" w:color="auto" w:sz="6" w:space="0"/>
              <w:right w:val="single" w:color="auto" w:sz="6" w:space="0"/>
            </w:tcBorders>
            <w:shd w:val="clear" w:color="auto" w:fill="auto"/>
            <w:vAlign w:val="center"/>
          </w:tcPr>
          <w:p w14:paraId="3305A7C6">
            <w:pPr>
              <w:pStyle w:val="16"/>
              <w:jc w:val="center"/>
              <w:rPr>
                <w:sz w:val="20"/>
                <w:szCs w:val="20"/>
              </w:rPr>
            </w:pPr>
            <w:r>
              <w:rPr>
                <w:rFonts w:hint="eastAsia"/>
                <w:sz w:val="20"/>
                <w:szCs w:val="20"/>
              </w:rPr>
              <w:t>刘利民</w:t>
            </w:r>
          </w:p>
        </w:tc>
        <w:tc>
          <w:tcPr>
            <w:tcW w:w="1241" w:type="dxa"/>
            <w:tcBorders>
              <w:top w:val="single" w:color="auto" w:sz="6" w:space="0"/>
              <w:left w:val="single" w:color="auto" w:sz="6" w:space="0"/>
              <w:bottom w:val="single" w:color="auto" w:sz="6" w:space="0"/>
              <w:right w:val="single" w:color="auto" w:sz="6" w:space="0"/>
            </w:tcBorders>
            <w:shd w:val="clear" w:color="auto" w:fill="auto"/>
            <w:vAlign w:val="center"/>
          </w:tcPr>
          <w:p w14:paraId="7B022287">
            <w:pPr>
              <w:pStyle w:val="13"/>
              <w:jc w:val="center"/>
              <w:rPr>
                <w:rStyle w:val="14"/>
                <w:sz w:val="20"/>
                <w:szCs w:val="20"/>
                <w:lang w:val="zh-CN"/>
              </w:rPr>
            </w:pPr>
            <w:r>
              <w:rPr>
                <w:rFonts w:hint="eastAsia"/>
                <w:sz w:val="20"/>
                <w:szCs w:val="20"/>
                <w:lang w:val="zh-CN"/>
              </w:rPr>
              <w:t>生效日期</w:t>
            </w:r>
          </w:p>
        </w:tc>
        <w:tc>
          <w:tcPr>
            <w:tcW w:w="1961" w:type="dxa"/>
            <w:tcBorders>
              <w:top w:val="single" w:color="auto" w:sz="6" w:space="0"/>
              <w:left w:val="single" w:color="auto" w:sz="6" w:space="0"/>
              <w:bottom w:val="single" w:color="auto" w:sz="6" w:space="0"/>
              <w:right w:val="single" w:color="auto" w:sz="6" w:space="0"/>
            </w:tcBorders>
            <w:shd w:val="clear" w:color="auto" w:fill="auto"/>
            <w:vAlign w:val="center"/>
          </w:tcPr>
          <w:p w14:paraId="1BF39FD0">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9</w:t>
            </w:r>
            <w:r>
              <w:rPr>
                <w:rFonts w:hint="eastAsia"/>
                <w:sz w:val="20"/>
                <w:szCs w:val="20"/>
              </w:rPr>
              <w:t>-</w:t>
            </w:r>
            <w:r>
              <w:rPr>
                <w:sz w:val="20"/>
                <w:szCs w:val="20"/>
              </w:rPr>
              <w:t>01</w:t>
            </w:r>
          </w:p>
        </w:tc>
      </w:tr>
    </w:tbl>
    <w:p w14:paraId="6F0D90EB">
      <w:pPr>
        <w:pStyle w:val="6"/>
        <w:spacing w:beforeAutospacing="0" w:afterAutospacing="0"/>
        <w:jc w:val="center"/>
        <w:rPr>
          <w:rStyle w:val="25"/>
          <w:rFonts w:hint="default"/>
          <w:sz w:val="28"/>
          <w:szCs w:val="28"/>
          <w:lang w:bidi="ar"/>
        </w:rPr>
      </w:pPr>
    </w:p>
    <w:p w14:paraId="767D8A91">
      <w:pPr>
        <w:pStyle w:val="2"/>
        <w:rPr>
          <w:rFonts w:ascii="宋体" w:hAnsi="宋体" w:cs="宋体"/>
          <w:b w:val="0"/>
          <w:kern w:val="0"/>
          <w:szCs w:val="28"/>
        </w:rPr>
      </w:pPr>
      <w:bookmarkStart w:id="10" w:name="_Toc8482"/>
      <w:bookmarkStart w:id="11" w:name="_Toc4921"/>
      <w:bookmarkStart w:id="12" w:name="_Toc14433"/>
      <w:bookmarkStart w:id="13" w:name="_Toc25062"/>
      <w:bookmarkStart w:id="14" w:name="_Toc19825"/>
      <w:r>
        <w:rPr>
          <w:rFonts w:hint="eastAsia"/>
        </w:rPr>
        <w:t>岗位职责</w:t>
      </w:r>
      <w:bookmarkEnd w:id="10"/>
      <w:bookmarkEnd w:id="11"/>
      <w:bookmarkEnd w:id="12"/>
      <w:bookmarkEnd w:id="13"/>
      <w:bookmarkEnd w:id="14"/>
    </w:p>
    <w:p w14:paraId="4939DEFA">
      <w:pPr>
        <w:pStyle w:val="6"/>
        <w:numPr>
          <w:ilvl w:val="0"/>
          <w:numId w:val="2"/>
        </w:numPr>
        <w:spacing w:before="317" w:beforeAutospacing="0" w:afterAutospacing="0" w:line="346" w:lineRule="exact"/>
        <w:ind w:right="6221"/>
        <w:rPr>
          <w:rFonts w:ascii="宋体" w:hAnsi="宋体" w:eastAsia="宋体" w:cs="宋体"/>
          <w:sz w:val="21"/>
          <w:szCs w:val="21"/>
        </w:rPr>
      </w:pPr>
      <w:r>
        <w:rPr>
          <w:rStyle w:val="26"/>
          <w:b w:val="0"/>
          <w:sz w:val="21"/>
          <w:szCs w:val="21"/>
          <w:lang w:bidi="ar"/>
        </w:rPr>
        <w:t>伦理委员会</w:t>
      </w:r>
    </w:p>
    <w:p w14:paraId="4C2BF1DD">
      <w:pPr>
        <w:pStyle w:val="6"/>
        <w:spacing w:before="317" w:beforeAutospacing="0" w:afterAutospacing="0" w:line="346" w:lineRule="exact"/>
        <w:ind w:right="6221"/>
        <w:rPr>
          <w:rFonts w:ascii="宋体" w:hAnsi="宋体" w:eastAsia="宋体" w:cs="宋体"/>
          <w:sz w:val="21"/>
          <w:szCs w:val="21"/>
        </w:rPr>
      </w:pPr>
      <w:r>
        <w:rPr>
          <w:rStyle w:val="26"/>
          <w:b w:val="0"/>
          <w:sz w:val="21"/>
          <w:szCs w:val="21"/>
          <w:lang w:bidi="ar"/>
        </w:rPr>
        <w:t>委员/候补委员</w:t>
      </w:r>
    </w:p>
    <w:p w14:paraId="4CEA8B58">
      <w:pPr>
        <w:pStyle w:val="6"/>
        <w:numPr>
          <w:ilvl w:val="0"/>
          <w:numId w:val="3"/>
        </w:numPr>
        <w:spacing w:beforeAutospacing="0" w:afterAutospacing="0" w:line="346" w:lineRule="exact"/>
        <w:ind w:left="648" w:leftChars="199" w:hanging="210" w:hangingChars="100"/>
        <w:rPr>
          <w:rStyle w:val="25"/>
          <w:rFonts w:hint="default"/>
          <w:sz w:val="21"/>
          <w:szCs w:val="21"/>
          <w:lang w:bidi="ar"/>
        </w:rPr>
      </w:pPr>
      <w:r>
        <w:rPr>
          <w:rStyle w:val="25"/>
          <w:sz w:val="21"/>
          <w:szCs w:val="21"/>
          <w:lang w:bidi="ar"/>
        </w:rPr>
        <w:t>担任送审项目的主审委员</w:t>
      </w:r>
      <w:r>
        <w:rPr>
          <w:rStyle w:val="25"/>
          <w:rFonts w:hint="default"/>
          <w:sz w:val="21"/>
          <w:szCs w:val="21"/>
          <w:lang w:bidi="ar"/>
        </w:rPr>
        <w:t>。</w:t>
      </w:r>
    </w:p>
    <w:p w14:paraId="5CF08390">
      <w:pPr>
        <w:pStyle w:val="6"/>
        <w:numPr>
          <w:ilvl w:val="0"/>
          <w:numId w:val="3"/>
        </w:numPr>
        <w:spacing w:beforeAutospacing="0" w:afterAutospacing="0" w:line="346" w:lineRule="exact"/>
        <w:ind w:left="648" w:leftChars="199" w:hanging="210" w:hangingChars="100"/>
        <w:rPr>
          <w:rFonts w:ascii="宋体" w:hAnsi="宋体" w:eastAsia="宋体" w:cs="宋体"/>
          <w:sz w:val="21"/>
          <w:szCs w:val="21"/>
        </w:rPr>
      </w:pPr>
      <w:r>
        <w:rPr>
          <w:rStyle w:val="25"/>
          <w:sz w:val="21"/>
          <w:szCs w:val="21"/>
          <w:lang w:bidi="ar"/>
        </w:rPr>
        <w:t>参加会议审查，每年会议出席率不低于</w:t>
      </w:r>
      <w:r>
        <w:rPr>
          <w:rStyle w:val="27"/>
          <w:rFonts w:ascii="宋体" w:hAnsi="宋体" w:eastAsia="宋体" w:cs="宋体"/>
          <w:b w:val="0"/>
          <w:sz w:val="21"/>
          <w:szCs w:val="21"/>
          <w:lang w:bidi="ar"/>
        </w:rPr>
        <w:t>70％</w:t>
      </w:r>
      <w:r>
        <w:rPr>
          <w:rStyle w:val="28"/>
          <w:b w:val="0"/>
          <w:spacing w:val="-20"/>
          <w:sz w:val="21"/>
          <w:szCs w:val="21"/>
          <w:lang w:bidi="ar"/>
        </w:rPr>
        <w:t>。</w:t>
      </w:r>
    </w:p>
    <w:p w14:paraId="11F407ED">
      <w:pPr>
        <w:pStyle w:val="6"/>
        <w:numPr>
          <w:ilvl w:val="0"/>
          <w:numId w:val="3"/>
        </w:numPr>
        <w:spacing w:beforeAutospacing="0" w:afterAutospacing="0" w:line="346" w:lineRule="exact"/>
        <w:ind w:left="648" w:leftChars="199" w:hanging="210" w:hangingChars="100"/>
        <w:rPr>
          <w:rFonts w:ascii="宋体" w:hAnsi="宋体" w:eastAsia="宋体" w:cs="宋体"/>
          <w:sz w:val="21"/>
          <w:szCs w:val="21"/>
        </w:rPr>
      </w:pPr>
      <w:r>
        <w:rPr>
          <w:rStyle w:val="25"/>
          <w:sz w:val="21"/>
          <w:szCs w:val="21"/>
          <w:lang w:bidi="ar"/>
        </w:rPr>
        <w:t>遵循研究利益冲突政策，主动声明与审查项目相关的利益冲突。</w:t>
      </w:r>
    </w:p>
    <w:p w14:paraId="59E0D60E">
      <w:pPr>
        <w:pStyle w:val="6"/>
        <w:spacing w:beforeAutospacing="0" w:afterAutospacing="0" w:line="240" w:lineRule="exact"/>
        <w:rPr>
          <w:rFonts w:ascii="宋体" w:hAnsi="宋体" w:eastAsia="宋体" w:cs="宋体"/>
          <w:sz w:val="21"/>
          <w:szCs w:val="21"/>
        </w:rPr>
      </w:pPr>
      <w:r>
        <w:rPr>
          <w:rFonts w:hint="eastAsia" w:ascii="宋体" w:hAnsi="宋体" w:eastAsia="宋体" w:cs="宋体"/>
          <w:sz w:val="21"/>
          <w:szCs w:val="21"/>
          <w:lang w:bidi="ar"/>
        </w:rPr>
        <w:t xml:space="preserve"> </w:t>
      </w:r>
    </w:p>
    <w:p w14:paraId="2180B174">
      <w:pPr>
        <w:pStyle w:val="6"/>
        <w:spacing w:before="116" w:beforeAutospacing="0" w:afterAutospacing="0" w:line="349" w:lineRule="exact"/>
        <w:rPr>
          <w:rFonts w:ascii="宋体" w:hAnsi="宋体" w:eastAsia="宋体" w:cs="宋体"/>
          <w:sz w:val="21"/>
          <w:szCs w:val="21"/>
        </w:rPr>
      </w:pPr>
      <w:r>
        <w:rPr>
          <w:rStyle w:val="26"/>
          <w:b w:val="0"/>
          <w:sz w:val="21"/>
          <w:szCs w:val="21"/>
          <w:lang w:bidi="ar"/>
        </w:rPr>
        <w:t>主任委员</w:t>
      </w:r>
    </w:p>
    <w:p w14:paraId="612464DD">
      <w:pPr>
        <w:pStyle w:val="6"/>
        <w:spacing w:before="4" w:beforeAutospacing="0" w:afterAutospacing="0" w:line="349" w:lineRule="exact"/>
        <w:ind w:left="418"/>
        <w:rPr>
          <w:rFonts w:ascii="宋体" w:hAnsi="宋体" w:eastAsia="宋体" w:cs="宋体"/>
          <w:sz w:val="21"/>
          <w:szCs w:val="21"/>
        </w:rPr>
      </w:pPr>
      <w:r>
        <w:rPr>
          <w:rStyle w:val="25"/>
          <w:sz w:val="21"/>
          <w:szCs w:val="21"/>
          <w:lang w:bidi="ar"/>
        </w:rPr>
        <w:t>1)承担委员的审查职责。</w:t>
      </w:r>
    </w:p>
    <w:p w14:paraId="4C3E5531">
      <w:pPr>
        <w:pStyle w:val="6"/>
        <w:spacing w:beforeAutospacing="0" w:afterAutospacing="0" w:line="349" w:lineRule="exact"/>
        <w:ind w:left="418"/>
        <w:rPr>
          <w:rFonts w:ascii="宋体" w:hAnsi="宋体" w:eastAsia="宋体" w:cs="宋体"/>
          <w:sz w:val="21"/>
          <w:szCs w:val="21"/>
        </w:rPr>
      </w:pPr>
      <w:r>
        <w:rPr>
          <w:rStyle w:val="25"/>
          <w:sz w:val="21"/>
          <w:szCs w:val="21"/>
          <w:lang w:bidi="ar"/>
        </w:rPr>
        <w:t>2)主持审查会议。</w:t>
      </w:r>
    </w:p>
    <w:p w14:paraId="0E5709A7">
      <w:pPr>
        <w:pStyle w:val="6"/>
        <w:spacing w:beforeAutospacing="0" w:afterAutospacing="0" w:line="349" w:lineRule="exact"/>
        <w:ind w:left="418"/>
        <w:rPr>
          <w:rFonts w:ascii="宋体" w:hAnsi="宋体" w:eastAsia="宋体" w:cs="宋体"/>
          <w:sz w:val="21"/>
          <w:szCs w:val="21"/>
        </w:rPr>
      </w:pPr>
      <w:r>
        <w:rPr>
          <w:rStyle w:val="25"/>
          <w:sz w:val="21"/>
          <w:szCs w:val="21"/>
          <w:lang w:bidi="ar"/>
        </w:rPr>
        <w:t>3)审签会议记录。</w:t>
      </w:r>
    </w:p>
    <w:p w14:paraId="3C19FEC5">
      <w:pPr>
        <w:pStyle w:val="6"/>
        <w:spacing w:beforeAutospacing="0" w:afterAutospacing="0" w:line="349" w:lineRule="exact"/>
        <w:ind w:left="421"/>
        <w:rPr>
          <w:rFonts w:ascii="宋体" w:hAnsi="宋体" w:eastAsia="宋体" w:cs="宋体"/>
          <w:sz w:val="21"/>
          <w:szCs w:val="21"/>
        </w:rPr>
      </w:pPr>
      <w:r>
        <w:rPr>
          <w:rStyle w:val="25"/>
          <w:sz w:val="21"/>
          <w:szCs w:val="21"/>
          <w:lang w:bidi="ar"/>
        </w:rPr>
        <w:t>4)审签审查决定文件。</w:t>
      </w:r>
    </w:p>
    <w:p w14:paraId="4C4FA0C2">
      <w:pPr>
        <w:pStyle w:val="6"/>
        <w:spacing w:beforeAutospacing="0" w:afterAutospacing="0" w:line="349" w:lineRule="exact"/>
        <w:ind w:left="421"/>
        <w:rPr>
          <w:rFonts w:ascii="宋体" w:hAnsi="宋体" w:eastAsia="宋体" w:cs="宋体"/>
          <w:sz w:val="21"/>
          <w:szCs w:val="21"/>
        </w:rPr>
      </w:pPr>
      <w:r>
        <w:rPr>
          <w:rStyle w:val="25"/>
          <w:sz w:val="21"/>
          <w:szCs w:val="21"/>
          <w:lang w:bidi="ar"/>
        </w:rPr>
        <w:t>5)副主任委员经主任委员授权，承担授权范围内的主任职责。</w:t>
      </w:r>
    </w:p>
    <w:p w14:paraId="25D72079">
      <w:pPr>
        <w:pStyle w:val="6"/>
        <w:spacing w:beforeAutospacing="0" w:afterAutospacing="0" w:line="680" w:lineRule="exact"/>
        <w:ind w:right="2074"/>
        <w:rPr>
          <w:rFonts w:ascii="宋体" w:hAnsi="宋体" w:eastAsia="宋体" w:cs="宋体"/>
          <w:sz w:val="21"/>
          <w:szCs w:val="21"/>
        </w:rPr>
      </w:pPr>
      <w:r>
        <w:rPr>
          <w:rStyle w:val="26"/>
          <w:b w:val="0"/>
          <w:sz w:val="21"/>
          <w:szCs w:val="21"/>
          <w:lang w:bidi="ar"/>
        </w:rPr>
        <w:t>独立顾问</w:t>
      </w:r>
    </w:p>
    <w:p w14:paraId="49058E4F">
      <w:pPr>
        <w:pStyle w:val="6"/>
        <w:spacing w:beforeAutospacing="0" w:afterAutospacing="0" w:line="346" w:lineRule="exact"/>
        <w:ind w:left="418"/>
        <w:rPr>
          <w:rFonts w:ascii="宋体" w:hAnsi="宋体" w:eastAsia="宋体" w:cs="宋体"/>
          <w:sz w:val="21"/>
          <w:szCs w:val="21"/>
        </w:rPr>
      </w:pPr>
      <w:r>
        <w:rPr>
          <w:rStyle w:val="25"/>
          <w:sz w:val="21"/>
          <w:szCs w:val="21"/>
          <w:lang w:bidi="ar"/>
        </w:rPr>
        <w:t>1)由医院Attending级别及以上医务工作人员担任。</w:t>
      </w:r>
    </w:p>
    <w:p w14:paraId="75314A0F">
      <w:pPr>
        <w:pStyle w:val="6"/>
        <w:spacing w:beforeAutospacing="0" w:afterAutospacing="0" w:line="346" w:lineRule="exact"/>
        <w:ind w:left="418"/>
        <w:rPr>
          <w:rFonts w:ascii="宋体" w:hAnsi="宋体" w:eastAsia="宋体" w:cs="宋体"/>
          <w:sz w:val="21"/>
          <w:szCs w:val="21"/>
        </w:rPr>
      </w:pPr>
      <w:r>
        <w:rPr>
          <w:rStyle w:val="25"/>
          <w:sz w:val="21"/>
          <w:szCs w:val="21"/>
          <w:lang w:bidi="ar"/>
        </w:rPr>
        <w:t>2)应邀对所咨询的研究方案、研究人群或特定的问题发表意见。</w:t>
      </w:r>
    </w:p>
    <w:p w14:paraId="7EF307B9">
      <w:pPr>
        <w:pStyle w:val="6"/>
        <w:spacing w:beforeAutospacing="0" w:afterAutospacing="0" w:line="346" w:lineRule="exact"/>
        <w:ind w:left="418"/>
        <w:rPr>
          <w:rFonts w:ascii="宋体" w:hAnsi="宋体" w:eastAsia="宋体" w:cs="宋体"/>
          <w:sz w:val="21"/>
          <w:szCs w:val="21"/>
        </w:rPr>
      </w:pPr>
      <w:r>
        <w:rPr>
          <w:rStyle w:val="25"/>
          <w:sz w:val="21"/>
          <w:szCs w:val="21"/>
          <w:lang w:bidi="ar"/>
        </w:rPr>
        <w:t>3)没有投票决定权。</w:t>
      </w:r>
    </w:p>
    <w:p w14:paraId="4C7C4229">
      <w:pPr>
        <w:pStyle w:val="6"/>
        <w:spacing w:before="4" w:beforeAutospacing="0" w:afterAutospacing="0" w:line="346" w:lineRule="exact"/>
        <w:ind w:left="418"/>
        <w:rPr>
          <w:rStyle w:val="25"/>
          <w:rFonts w:hint="default"/>
          <w:sz w:val="21"/>
          <w:szCs w:val="21"/>
          <w:lang w:bidi="ar"/>
        </w:rPr>
      </w:pPr>
      <w:r>
        <w:rPr>
          <w:rStyle w:val="25"/>
          <w:sz w:val="21"/>
          <w:szCs w:val="21"/>
          <w:lang w:bidi="ar"/>
        </w:rPr>
        <w:t>4)遵循研究利益冲突政策，主动声明与咨询项目相关的利益冲突。</w:t>
      </w:r>
    </w:p>
    <w:p w14:paraId="560305C5">
      <w:pPr>
        <w:pStyle w:val="6"/>
        <w:spacing w:before="4" w:beforeAutospacing="0" w:afterAutospacing="0" w:line="346" w:lineRule="exact"/>
        <w:ind w:left="418"/>
        <w:rPr>
          <w:rStyle w:val="25"/>
          <w:rFonts w:hint="default"/>
          <w:sz w:val="21"/>
          <w:szCs w:val="21"/>
          <w:lang w:bidi="ar"/>
        </w:rPr>
      </w:pPr>
    </w:p>
    <w:p w14:paraId="4D013F77">
      <w:pPr>
        <w:pStyle w:val="6"/>
        <w:numPr>
          <w:ilvl w:val="0"/>
          <w:numId w:val="4"/>
        </w:numPr>
        <w:spacing w:beforeAutospacing="0" w:afterAutospacing="0"/>
        <w:rPr>
          <w:rFonts w:ascii="宋体" w:hAnsi="宋体" w:eastAsia="宋体" w:cs="宋体"/>
          <w:sz w:val="21"/>
          <w:szCs w:val="21"/>
        </w:rPr>
      </w:pPr>
      <w:r>
        <w:rPr>
          <w:rStyle w:val="26"/>
          <w:b w:val="0"/>
          <w:sz w:val="21"/>
          <w:szCs w:val="21"/>
          <w:lang w:bidi="ar"/>
        </w:rPr>
        <w:t>伦理委员会的管理人员</w:t>
      </w:r>
    </w:p>
    <w:p w14:paraId="43EC9D75">
      <w:pPr>
        <w:pStyle w:val="6"/>
        <w:spacing w:before="98" w:beforeAutospacing="0" w:afterAutospacing="0" w:line="349" w:lineRule="exact"/>
        <w:rPr>
          <w:rFonts w:ascii="宋体" w:hAnsi="宋体" w:eastAsia="宋体" w:cs="宋体"/>
          <w:sz w:val="21"/>
          <w:szCs w:val="21"/>
        </w:rPr>
      </w:pPr>
      <w:r>
        <w:rPr>
          <w:rStyle w:val="27"/>
          <w:rFonts w:ascii="宋体" w:hAnsi="宋体" w:eastAsia="宋体" w:cs="宋体"/>
          <w:b w:val="0"/>
          <w:sz w:val="21"/>
          <w:szCs w:val="21"/>
          <w:lang w:bidi="ar"/>
        </w:rPr>
        <w:t>办公室秘书</w:t>
      </w:r>
    </w:p>
    <w:p w14:paraId="67617A8D">
      <w:pPr>
        <w:pStyle w:val="6"/>
        <w:spacing w:beforeAutospacing="0" w:afterAutospacing="0" w:line="346" w:lineRule="exact"/>
        <w:ind w:left="418"/>
        <w:rPr>
          <w:rFonts w:ascii="宋体" w:hAnsi="宋体" w:eastAsia="宋体" w:cs="宋体"/>
          <w:sz w:val="21"/>
          <w:szCs w:val="21"/>
        </w:rPr>
      </w:pPr>
      <w:r>
        <w:rPr>
          <w:rStyle w:val="25"/>
          <w:sz w:val="21"/>
          <w:szCs w:val="21"/>
          <w:lang w:bidi="ar"/>
        </w:rPr>
        <w:t>1)在伦理委员会主任领导下工作。</w:t>
      </w:r>
    </w:p>
    <w:p w14:paraId="21A76664">
      <w:pPr>
        <w:pStyle w:val="6"/>
        <w:spacing w:beforeAutospacing="0" w:afterAutospacing="0" w:line="346" w:lineRule="exact"/>
        <w:ind w:left="543" w:leftChars="199" w:hanging="105" w:hangingChars="50"/>
        <w:rPr>
          <w:rFonts w:ascii="宋体" w:hAnsi="宋体" w:eastAsia="宋体" w:cs="宋体"/>
          <w:sz w:val="21"/>
          <w:szCs w:val="21"/>
        </w:rPr>
      </w:pPr>
      <w:r>
        <w:rPr>
          <w:rStyle w:val="25"/>
          <w:sz w:val="21"/>
          <w:szCs w:val="21"/>
          <w:lang w:bidi="ar"/>
        </w:rPr>
        <w:t>2)告知主要研究者/申办者提交伦理审查申请/报告的程序，指导主要研究者送审材料的完整性和规范性。</w:t>
      </w:r>
    </w:p>
    <w:p w14:paraId="2E0FC4C6">
      <w:pPr>
        <w:pStyle w:val="6"/>
        <w:spacing w:beforeAutospacing="0" w:afterAutospacing="0" w:line="346" w:lineRule="exact"/>
        <w:ind w:left="418"/>
        <w:rPr>
          <w:rFonts w:ascii="宋体" w:hAnsi="宋体" w:eastAsia="宋体" w:cs="宋体"/>
          <w:sz w:val="21"/>
          <w:szCs w:val="21"/>
        </w:rPr>
      </w:pPr>
      <w:r>
        <w:rPr>
          <w:rStyle w:val="25"/>
          <w:sz w:val="21"/>
          <w:szCs w:val="21"/>
          <w:lang w:bidi="ar"/>
        </w:rPr>
        <w:t>3)准备审查会议，包括会议日程，给委员分发审查材料，确保到会委员符合法定人数；准备快速审查的材料。</w:t>
      </w:r>
    </w:p>
    <w:p w14:paraId="2DFCAD7B">
      <w:pPr>
        <w:pStyle w:val="6"/>
        <w:spacing w:beforeAutospacing="0" w:afterAutospacing="0" w:line="346" w:lineRule="exact"/>
        <w:ind w:left="418"/>
        <w:rPr>
          <w:rFonts w:ascii="宋体" w:hAnsi="宋体" w:eastAsia="宋体" w:cs="宋体"/>
          <w:sz w:val="21"/>
          <w:szCs w:val="21"/>
        </w:rPr>
      </w:pPr>
      <w:r>
        <w:rPr>
          <w:rStyle w:val="25"/>
          <w:sz w:val="21"/>
          <w:szCs w:val="21"/>
          <w:lang w:bidi="ar"/>
        </w:rPr>
        <w:t>4)负责多中心临床研究与其他伦理委员会之间的信息沟通与交流。</w:t>
      </w:r>
    </w:p>
    <w:p w14:paraId="51982172">
      <w:pPr>
        <w:pStyle w:val="6"/>
        <w:spacing w:beforeAutospacing="0" w:afterAutospacing="0" w:line="346" w:lineRule="exact"/>
        <w:ind w:left="418"/>
        <w:rPr>
          <w:rFonts w:ascii="宋体" w:hAnsi="宋体" w:eastAsia="宋体" w:cs="宋体"/>
          <w:sz w:val="21"/>
          <w:szCs w:val="21"/>
        </w:rPr>
      </w:pPr>
      <w:r>
        <w:rPr>
          <w:rStyle w:val="25"/>
          <w:sz w:val="21"/>
          <w:szCs w:val="21"/>
          <w:lang w:bidi="ar"/>
        </w:rPr>
        <w:t>5)向申请人解释伦理委员会的决定依据，或帮助联系申请人直接与委员的沟通交流。</w:t>
      </w:r>
    </w:p>
    <w:p w14:paraId="5448037B">
      <w:pPr>
        <w:pStyle w:val="6"/>
        <w:spacing w:beforeAutospacing="0" w:afterAutospacing="0" w:line="346" w:lineRule="exact"/>
        <w:ind w:left="418"/>
        <w:rPr>
          <w:rFonts w:ascii="宋体" w:hAnsi="宋体" w:eastAsia="宋体" w:cs="宋体"/>
          <w:sz w:val="21"/>
          <w:szCs w:val="21"/>
        </w:rPr>
      </w:pPr>
      <w:r>
        <w:rPr>
          <w:rStyle w:val="25"/>
          <w:sz w:val="21"/>
          <w:szCs w:val="21"/>
          <w:lang w:bidi="ar"/>
        </w:rPr>
        <w:t>6)文件档案与信息管理，并执行安全管理规定。</w:t>
      </w:r>
    </w:p>
    <w:p w14:paraId="69BA6331">
      <w:pPr>
        <w:pStyle w:val="6"/>
        <w:spacing w:beforeAutospacing="0" w:afterAutospacing="0" w:line="346" w:lineRule="exact"/>
        <w:ind w:left="418"/>
        <w:rPr>
          <w:rFonts w:ascii="宋体" w:hAnsi="宋体" w:eastAsia="宋体" w:cs="宋体"/>
          <w:sz w:val="21"/>
          <w:szCs w:val="21"/>
        </w:rPr>
      </w:pPr>
      <w:r>
        <w:rPr>
          <w:rStyle w:val="25"/>
          <w:sz w:val="21"/>
          <w:szCs w:val="21"/>
          <w:lang w:bidi="ar"/>
        </w:rPr>
        <w:t>7)帮助委员获取法规、指南和操作规范等文献，以及培训信息。</w:t>
      </w:r>
    </w:p>
    <w:p w14:paraId="2E7C4304">
      <w:pPr>
        <w:pStyle w:val="6"/>
        <w:spacing w:beforeAutospacing="0" w:afterAutospacing="0" w:line="346" w:lineRule="exact"/>
        <w:ind w:left="418"/>
        <w:rPr>
          <w:rFonts w:ascii="宋体" w:hAnsi="宋体" w:eastAsia="宋体" w:cs="宋体"/>
          <w:sz w:val="21"/>
          <w:szCs w:val="21"/>
        </w:rPr>
      </w:pPr>
      <w:r>
        <w:rPr>
          <w:rStyle w:val="25"/>
          <w:sz w:val="21"/>
          <w:szCs w:val="21"/>
          <w:lang w:bidi="ar"/>
        </w:rPr>
        <w:t>8)更新委员文档。</w:t>
      </w:r>
    </w:p>
    <w:p w14:paraId="7023BFBA">
      <w:pPr>
        <w:pStyle w:val="6"/>
        <w:spacing w:beforeAutospacing="0" w:afterAutospacing="0" w:line="346" w:lineRule="exact"/>
        <w:ind w:left="418"/>
        <w:rPr>
          <w:rFonts w:ascii="宋体" w:hAnsi="宋体" w:eastAsia="宋体" w:cs="宋体"/>
          <w:sz w:val="21"/>
          <w:szCs w:val="21"/>
        </w:rPr>
      </w:pPr>
      <w:r>
        <w:rPr>
          <w:rStyle w:val="25"/>
          <w:sz w:val="21"/>
          <w:szCs w:val="21"/>
          <w:lang w:bidi="ar"/>
        </w:rPr>
        <w:t>9)起草年度工作报告。</w:t>
      </w:r>
    </w:p>
    <w:p w14:paraId="267F2328">
      <w:pPr>
        <w:pStyle w:val="6"/>
        <w:spacing w:beforeAutospacing="0" w:afterAutospacing="0" w:line="346" w:lineRule="exact"/>
        <w:ind w:left="418"/>
        <w:rPr>
          <w:rFonts w:ascii="宋体" w:hAnsi="宋体" w:eastAsia="宋体" w:cs="宋体"/>
          <w:sz w:val="21"/>
          <w:szCs w:val="21"/>
        </w:rPr>
      </w:pPr>
      <w:r>
        <w:rPr>
          <w:rStyle w:val="25"/>
          <w:sz w:val="21"/>
          <w:szCs w:val="21"/>
          <w:lang w:bidi="ar"/>
        </w:rPr>
        <w:t>10）受理试验参与者的抱怨，与相关部门或人员协调处理。</w:t>
      </w:r>
    </w:p>
    <w:p w14:paraId="76746E40">
      <w:pPr>
        <w:pStyle w:val="6"/>
        <w:spacing w:beforeAutospacing="0" w:afterAutospacing="0" w:line="346" w:lineRule="exact"/>
        <w:ind w:left="858" w:leftChars="199" w:hanging="420" w:hangingChars="200"/>
        <w:rPr>
          <w:rStyle w:val="25"/>
          <w:rFonts w:hint="default"/>
          <w:sz w:val="21"/>
          <w:szCs w:val="21"/>
          <w:lang w:bidi="ar"/>
        </w:rPr>
        <w:sectPr>
          <w:footerReference r:id="rId9" w:type="default"/>
          <w:footerReference r:id="rId10" w:type="even"/>
          <w:pgSz w:w="11906" w:h="16838"/>
          <w:pgMar w:top="1440" w:right="1800" w:bottom="1440" w:left="1800" w:header="851" w:footer="992" w:gutter="0"/>
          <w:pgNumType w:fmt="numberInDash" w:chapStyle="1"/>
          <w:cols w:space="720" w:num="1"/>
          <w:docGrid w:type="lines" w:linePitch="312" w:charSpace="0"/>
        </w:sectPr>
      </w:pPr>
      <w:r>
        <w:rPr>
          <w:rStyle w:val="25"/>
          <w:sz w:val="21"/>
          <w:szCs w:val="21"/>
          <w:lang w:bidi="ar"/>
        </w:rPr>
        <w:t>11）负责与公众的沟通交流，通过网站或其他方式公开伦理审查的程序，批准研究的标准，伦理委员会审查研究项目的决定。</w:t>
      </w:r>
    </w:p>
    <w:tbl>
      <w:tblPr>
        <w:tblStyle w:val="7"/>
        <w:tblW w:w="8544" w:type="dxa"/>
        <w:tblInd w:w="40" w:type="dxa"/>
        <w:tblLayout w:type="fixed"/>
        <w:tblCellMar>
          <w:top w:w="0" w:type="dxa"/>
          <w:left w:w="40" w:type="dxa"/>
          <w:bottom w:w="0" w:type="dxa"/>
          <w:right w:w="40" w:type="dxa"/>
        </w:tblCellMar>
      </w:tblPr>
      <w:tblGrid>
        <w:gridCol w:w="2358"/>
        <w:gridCol w:w="2958"/>
        <w:gridCol w:w="1251"/>
        <w:gridCol w:w="1977"/>
      </w:tblGrid>
      <w:tr w14:paraId="4CDB9B08">
        <w:tblPrEx>
          <w:tblCellMar>
            <w:top w:w="0" w:type="dxa"/>
            <w:left w:w="40" w:type="dxa"/>
            <w:bottom w:w="0" w:type="dxa"/>
            <w:right w:w="40" w:type="dxa"/>
          </w:tblCellMar>
        </w:tblPrEx>
        <w:trPr>
          <w:trHeight w:val="517" w:hRule="atLeast"/>
        </w:trPr>
        <w:tc>
          <w:tcPr>
            <w:tcW w:w="5274" w:type="dxa"/>
            <w:gridSpan w:val="2"/>
            <w:vMerge w:val="restart"/>
            <w:tcBorders>
              <w:top w:val="single" w:color="auto" w:sz="6" w:space="0"/>
              <w:left w:val="single" w:color="auto" w:sz="6" w:space="0"/>
              <w:right w:val="single" w:color="auto" w:sz="6" w:space="0"/>
            </w:tcBorders>
            <w:shd w:val="clear" w:color="auto" w:fill="auto"/>
            <w:vAlign w:val="center"/>
          </w:tcPr>
          <w:p w14:paraId="6BB67A58">
            <w:pPr>
              <w:pStyle w:val="13"/>
              <w:ind w:right="900" w:firstLine="360" w:firstLineChars="150"/>
              <w:jc w:val="center"/>
              <w:rPr>
                <w:rStyle w:val="14"/>
                <w:sz w:val="24"/>
                <w:szCs w:val="24"/>
                <w:lang w:val="zh-CN"/>
              </w:rPr>
            </w:pPr>
            <w:r>
              <w:rPr>
                <w:rStyle w:val="14"/>
                <w:rFonts w:hint="eastAsia"/>
                <w:sz w:val="24"/>
                <w:szCs w:val="24"/>
                <w:lang w:val="zh-CN"/>
              </w:rPr>
              <w:t>邵逸夫医院医学伦理委员会</w:t>
            </w:r>
            <w:r>
              <w:rPr>
                <w:rStyle w:val="14"/>
                <w:rFonts w:hint="eastAsia"/>
                <w:sz w:val="24"/>
                <w:szCs w:val="24"/>
              </w:rPr>
              <w:t>-</w:t>
            </w:r>
            <w:r>
              <w:rPr>
                <w:rStyle w:val="14"/>
                <w:rFonts w:hint="eastAsia"/>
                <w:sz w:val="24"/>
                <w:szCs w:val="24"/>
                <w:lang w:val="zh-CN"/>
              </w:rPr>
              <w:t>制度</w:t>
            </w:r>
          </w:p>
        </w:tc>
        <w:tc>
          <w:tcPr>
            <w:tcW w:w="1241" w:type="dxa"/>
            <w:tcBorders>
              <w:top w:val="single" w:color="auto" w:sz="6" w:space="0"/>
              <w:left w:val="single" w:color="auto" w:sz="6" w:space="0"/>
              <w:bottom w:val="nil"/>
              <w:right w:val="single" w:color="auto" w:sz="6" w:space="0"/>
            </w:tcBorders>
            <w:shd w:val="clear" w:color="auto" w:fill="auto"/>
            <w:vAlign w:val="center"/>
          </w:tcPr>
          <w:p w14:paraId="52806DCA">
            <w:pPr>
              <w:pStyle w:val="13"/>
              <w:jc w:val="center"/>
              <w:rPr>
                <w:rStyle w:val="14"/>
                <w:sz w:val="20"/>
                <w:szCs w:val="20"/>
                <w:lang w:val="zh-CN"/>
              </w:rPr>
            </w:pPr>
            <w:r>
              <w:rPr>
                <w:rStyle w:val="14"/>
                <w:rFonts w:hint="eastAsia"/>
                <w:sz w:val="20"/>
                <w:szCs w:val="20"/>
                <w:lang w:val="zh-CN"/>
              </w:rPr>
              <w:t>文件编号</w:t>
            </w:r>
          </w:p>
        </w:tc>
        <w:tc>
          <w:tcPr>
            <w:tcW w:w="1961" w:type="dxa"/>
            <w:tcBorders>
              <w:top w:val="single" w:color="auto" w:sz="6" w:space="0"/>
              <w:left w:val="single" w:color="auto" w:sz="6" w:space="0"/>
              <w:right w:val="single" w:color="auto" w:sz="6" w:space="0"/>
            </w:tcBorders>
            <w:shd w:val="clear" w:color="auto" w:fill="auto"/>
            <w:vAlign w:val="center"/>
          </w:tcPr>
          <w:p w14:paraId="2400C6E9">
            <w:pPr>
              <w:pStyle w:val="15"/>
              <w:jc w:val="center"/>
              <w:rPr>
                <w:sz w:val="20"/>
                <w:szCs w:val="20"/>
              </w:rPr>
            </w:pPr>
            <w:r>
              <w:rPr>
                <w:rFonts w:hint="eastAsia"/>
                <w:sz w:val="20"/>
                <w:szCs w:val="20"/>
              </w:rPr>
              <w:t>IRB-ZZ-04/</w:t>
            </w:r>
            <w:r>
              <w:rPr>
                <w:sz w:val="20"/>
                <w:szCs w:val="20"/>
              </w:rPr>
              <w:t>6</w:t>
            </w:r>
            <w:r>
              <w:rPr>
                <w:rFonts w:hint="eastAsia"/>
                <w:sz w:val="20"/>
                <w:szCs w:val="20"/>
              </w:rPr>
              <w:t>.0</w:t>
            </w:r>
          </w:p>
        </w:tc>
      </w:tr>
      <w:tr w14:paraId="5759976F">
        <w:tblPrEx>
          <w:tblCellMar>
            <w:top w:w="0" w:type="dxa"/>
            <w:left w:w="40" w:type="dxa"/>
            <w:bottom w:w="0" w:type="dxa"/>
            <w:right w:w="40" w:type="dxa"/>
          </w:tblCellMar>
        </w:tblPrEx>
        <w:trPr>
          <w:trHeight w:val="291" w:hRule="atLeast"/>
        </w:trPr>
        <w:tc>
          <w:tcPr>
            <w:tcW w:w="5274" w:type="dxa"/>
            <w:gridSpan w:val="2"/>
            <w:vMerge w:val="continue"/>
            <w:tcBorders>
              <w:left w:val="single" w:color="auto" w:sz="6" w:space="0"/>
              <w:bottom w:val="single" w:color="auto" w:sz="6" w:space="0"/>
              <w:right w:val="single" w:color="auto" w:sz="6" w:space="0"/>
            </w:tcBorders>
            <w:shd w:val="clear" w:color="auto" w:fill="auto"/>
            <w:vAlign w:val="center"/>
          </w:tcPr>
          <w:p w14:paraId="1FD75933">
            <w:pPr>
              <w:pStyle w:val="16"/>
              <w:jc w:val="center"/>
              <w:rPr>
                <w:sz w:val="20"/>
                <w:szCs w:val="20"/>
              </w:rPr>
            </w:pPr>
          </w:p>
        </w:tc>
        <w:tc>
          <w:tcPr>
            <w:tcW w:w="1241" w:type="dxa"/>
            <w:tcBorders>
              <w:top w:val="single" w:color="auto" w:sz="6" w:space="0"/>
              <w:left w:val="single" w:color="auto" w:sz="6" w:space="0"/>
              <w:bottom w:val="single" w:color="auto" w:sz="6" w:space="0"/>
              <w:right w:val="single" w:color="auto" w:sz="6" w:space="0"/>
            </w:tcBorders>
            <w:shd w:val="clear" w:color="auto" w:fill="auto"/>
            <w:vAlign w:val="center"/>
          </w:tcPr>
          <w:p w14:paraId="2385C475">
            <w:pPr>
              <w:pStyle w:val="13"/>
              <w:jc w:val="center"/>
              <w:rPr>
                <w:rStyle w:val="14"/>
                <w:sz w:val="20"/>
                <w:szCs w:val="20"/>
                <w:lang w:val="zh-CN"/>
              </w:rPr>
            </w:pPr>
            <w:r>
              <w:rPr>
                <w:rStyle w:val="14"/>
                <w:rFonts w:hint="eastAsia"/>
                <w:sz w:val="20"/>
                <w:szCs w:val="20"/>
                <w:lang w:val="zh-CN"/>
              </w:rPr>
              <w:t>版本号</w:t>
            </w:r>
          </w:p>
        </w:tc>
        <w:tc>
          <w:tcPr>
            <w:tcW w:w="1961" w:type="dxa"/>
            <w:tcBorders>
              <w:top w:val="single" w:color="auto" w:sz="6" w:space="0"/>
              <w:left w:val="single" w:color="auto" w:sz="6" w:space="0"/>
              <w:bottom w:val="single" w:color="auto" w:sz="6" w:space="0"/>
              <w:right w:val="single" w:color="auto" w:sz="6" w:space="0"/>
            </w:tcBorders>
            <w:shd w:val="clear" w:color="auto" w:fill="auto"/>
            <w:vAlign w:val="center"/>
          </w:tcPr>
          <w:p w14:paraId="5DCE888E">
            <w:pPr>
              <w:pStyle w:val="15"/>
              <w:jc w:val="center"/>
              <w:rPr>
                <w:sz w:val="20"/>
                <w:szCs w:val="20"/>
              </w:rPr>
            </w:pPr>
            <w:r>
              <w:rPr>
                <w:sz w:val="20"/>
                <w:szCs w:val="20"/>
              </w:rPr>
              <w:t>6</w:t>
            </w:r>
            <w:r>
              <w:rPr>
                <w:rFonts w:hint="eastAsia"/>
                <w:sz w:val="20"/>
                <w:szCs w:val="20"/>
              </w:rPr>
              <w:t>.0</w:t>
            </w:r>
          </w:p>
        </w:tc>
      </w:tr>
      <w:tr w14:paraId="73F51A6B">
        <w:tblPrEx>
          <w:tblCellMar>
            <w:top w:w="0" w:type="dxa"/>
            <w:left w:w="40" w:type="dxa"/>
            <w:bottom w:w="0" w:type="dxa"/>
            <w:right w:w="40" w:type="dxa"/>
          </w:tblCellMar>
        </w:tblPrEx>
        <w:trPr>
          <w:trHeight w:val="597" w:hRule="atLeast"/>
        </w:trPr>
        <w:tc>
          <w:tcPr>
            <w:tcW w:w="2340" w:type="dxa"/>
            <w:tcBorders>
              <w:top w:val="single" w:color="auto" w:sz="6" w:space="0"/>
              <w:left w:val="single" w:color="auto" w:sz="6" w:space="0"/>
              <w:bottom w:val="single" w:color="auto" w:sz="6" w:space="0"/>
              <w:right w:val="single" w:color="auto" w:sz="6" w:space="0"/>
            </w:tcBorders>
            <w:shd w:val="clear" w:color="auto" w:fill="auto"/>
            <w:vAlign w:val="center"/>
          </w:tcPr>
          <w:p w14:paraId="23137416">
            <w:pPr>
              <w:pStyle w:val="13"/>
              <w:ind w:right="437" w:firstLine="700" w:firstLineChars="350"/>
              <w:jc w:val="center"/>
              <w:rPr>
                <w:rStyle w:val="14"/>
                <w:sz w:val="20"/>
                <w:szCs w:val="20"/>
                <w:lang w:val="zh-CN"/>
              </w:rPr>
            </w:pPr>
            <w:r>
              <w:rPr>
                <w:rStyle w:val="14"/>
                <w:rFonts w:hint="eastAsia"/>
                <w:sz w:val="20"/>
                <w:szCs w:val="20"/>
                <w:lang w:val="zh-CN"/>
              </w:rPr>
              <w:t>编写者</w:t>
            </w:r>
          </w:p>
        </w:tc>
        <w:tc>
          <w:tcPr>
            <w:tcW w:w="2934" w:type="dxa"/>
            <w:tcBorders>
              <w:top w:val="single" w:color="auto" w:sz="6" w:space="0"/>
              <w:left w:val="single" w:color="auto" w:sz="6" w:space="0"/>
              <w:bottom w:val="single" w:color="auto" w:sz="6" w:space="0"/>
              <w:right w:val="single" w:color="auto" w:sz="6" w:space="0"/>
            </w:tcBorders>
            <w:shd w:val="clear" w:color="auto" w:fill="auto"/>
            <w:vAlign w:val="center"/>
          </w:tcPr>
          <w:p w14:paraId="3C594603">
            <w:pPr>
              <w:pStyle w:val="16"/>
              <w:ind w:firstLine="1200" w:firstLineChars="600"/>
              <w:jc w:val="both"/>
              <w:rPr>
                <w:sz w:val="20"/>
                <w:szCs w:val="20"/>
              </w:rPr>
            </w:pPr>
            <w:r>
              <w:rPr>
                <w:rFonts w:hint="eastAsia"/>
                <w:sz w:val="20"/>
                <w:szCs w:val="20"/>
              </w:rPr>
              <w:t>许鸣、杨漾池</w:t>
            </w:r>
          </w:p>
        </w:tc>
        <w:tc>
          <w:tcPr>
            <w:tcW w:w="1241" w:type="dxa"/>
            <w:tcBorders>
              <w:top w:val="single" w:color="auto" w:sz="6" w:space="0"/>
              <w:left w:val="single" w:color="auto" w:sz="6" w:space="0"/>
              <w:bottom w:val="single" w:color="auto" w:sz="6" w:space="0"/>
              <w:right w:val="single" w:color="auto" w:sz="6" w:space="0"/>
            </w:tcBorders>
            <w:shd w:val="clear" w:color="auto" w:fill="auto"/>
            <w:vAlign w:val="center"/>
          </w:tcPr>
          <w:p w14:paraId="47DFA8A5">
            <w:pPr>
              <w:pStyle w:val="13"/>
              <w:jc w:val="center"/>
              <w:rPr>
                <w:rStyle w:val="14"/>
                <w:sz w:val="20"/>
                <w:szCs w:val="20"/>
                <w:lang w:val="zh-CN"/>
              </w:rPr>
            </w:pPr>
            <w:r>
              <w:rPr>
                <w:rFonts w:hint="eastAsia"/>
                <w:sz w:val="20"/>
                <w:szCs w:val="20"/>
                <w:lang w:val="zh-CN"/>
              </w:rPr>
              <w:t>版本日期</w:t>
            </w:r>
          </w:p>
        </w:tc>
        <w:tc>
          <w:tcPr>
            <w:tcW w:w="1961" w:type="dxa"/>
            <w:tcBorders>
              <w:top w:val="single" w:color="auto" w:sz="6" w:space="0"/>
              <w:left w:val="single" w:color="auto" w:sz="6" w:space="0"/>
              <w:bottom w:val="single" w:color="auto" w:sz="6" w:space="0"/>
              <w:right w:val="single" w:color="auto" w:sz="6" w:space="0"/>
            </w:tcBorders>
            <w:shd w:val="clear" w:color="auto" w:fill="auto"/>
            <w:vAlign w:val="center"/>
          </w:tcPr>
          <w:p w14:paraId="6A55ADB0">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8</w:t>
            </w:r>
            <w:r>
              <w:rPr>
                <w:rFonts w:hint="eastAsia"/>
                <w:sz w:val="20"/>
                <w:szCs w:val="20"/>
              </w:rPr>
              <w:t>-</w:t>
            </w:r>
            <w:r>
              <w:rPr>
                <w:sz w:val="20"/>
                <w:szCs w:val="20"/>
              </w:rPr>
              <w:t>15</w:t>
            </w:r>
          </w:p>
        </w:tc>
      </w:tr>
      <w:tr w14:paraId="540923B1">
        <w:tblPrEx>
          <w:tblCellMar>
            <w:top w:w="0" w:type="dxa"/>
            <w:left w:w="40" w:type="dxa"/>
            <w:bottom w:w="0" w:type="dxa"/>
            <w:right w:w="40" w:type="dxa"/>
          </w:tblCellMar>
        </w:tblPrEx>
        <w:trPr>
          <w:trHeight w:val="604" w:hRule="atLeast"/>
        </w:trPr>
        <w:tc>
          <w:tcPr>
            <w:tcW w:w="2340" w:type="dxa"/>
            <w:tcBorders>
              <w:top w:val="single" w:color="auto" w:sz="6" w:space="0"/>
              <w:left w:val="single" w:color="auto" w:sz="6" w:space="0"/>
              <w:bottom w:val="single" w:color="auto" w:sz="6" w:space="0"/>
              <w:right w:val="single" w:color="auto" w:sz="6" w:space="0"/>
            </w:tcBorders>
            <w:shd w:val="clear" w:color="auto" w:fill="auto"/>
            <w:vAlign w:val="center"/>
          </w:tcPr>
          <w:p w14:paraId="1D0360C7">
            <w:pPr>
              <w:pStyle w:val="13"/>
              <w:ind w:right="435" w:firstLine="700" w:firstLineChars="350"/>
              <w:jc w:val="center"/>
              <w:rPr>
                <w:rStyle w:val="14"/>
                <w:sz w:val="20"/>
                <w:szCs w:val="20"/>
                <w:lang w:val="zh-CN"/>
              </w:rPr>
            </w:pPr>
            <w:r>
              <w:rPr>
                <w:rStyle w:val="14"/>
                <w:rFonts w:hint="eastAsia"/>
                <w:sz w:val="20"/>
                <w:szCs w:val="20"/>
                <w:lang w:val="zh-CN"/>
              </w:rPr>
              <w:t>审核者</w:t>
            </w:r>
          </w:p>
        </w:tc>
        <w:tc>
          <w:tcPr>
            <w:tcW w:w="2934" w:type="dxa"/>
            <w:tcBorders>
              <w:top w:val="single" w:color="auto" w:sz="6" w:space="0"/>
              <w:left w:val="single" w:color="auto" w:sz="6" w:space="0"/>
              <w:bottom w:val="single" w:color="auto" w:sz="6" w:space="0"/>
              <w:right w:val="single" w:color="auto" w:sz="6" w:space="0"/>
            </w:tcBorders>
            <w:shd w:val="clear" w:color="auto" w:fill="auto"/>
            <w:vAlign w:val="center"/>
          </w:tcPr>
          <w:p w14:paraId="25A466F8">
            <w:pPr>
              <w:pStyle w:val="16"/>
              <w:jc w:val="center"/>
              <w:rPr>
                <w:sz w:val="20"/>
                <w:szCs w:val="20"/>
              </w:rPr>
            </w:pPr>
            <w:r>
              <w:rPr>
                <w:rFonts w:hint="eastAsia"/>
                <w:sz w:val="20"/>
                <w:szCs w:val="20"/>
              </w:rPr>
              <w:t>王青青</w:t>
            </w:r>
          </w:p>
        </w:tc>
        <w:tc>
          <w:tcPr>
            <w:tcW w:w="1241" w:type="dxa"/>
            <w:tcBorders>
              <w:top w:val="single" w:color="auto" w:sz="6" w:space="0"/>
              <w:left w:val="single" w:color="auto" w:sz="6" w:space="0"/>
              <w:bottom w:val="single" w:color="auto" w:sz="6" w:space="0"/>
              <w:right w:val="single" w:color="auto" w:sz="6" w:space="0"/>
            </w:tcBorders>
            <w:shd w:val="clear" w:color="auto" w:fill="auto"/>
            <w:vAlign w:val="center"/>
          </w:tcPr>
          <w:p w14:paraId="2F0F062C">
            <w:pPr>
              <w:pStyle w:val="13"/>
              <w:jc w:val="center"/>
              <w:rPr>
                <w:rStyle w:val="14"/>
                <w:sz w:val="20"/>
                <w:szCs w:val="20"/>
                <w:lang w:val="zh-CN"/>
              </w:rPr>
            </w:pPr>
            <w:r>
              <w:rPr>
                <w:rFonts w:hint="eastAsia"/>
                <w:sz w:val="20"/>
                <w:szCs w:val="20"/>
                <w:lang w:val="zh-CN"/>
              </w:rPr>
              <w:t>批准日期</w:t>
            </w:r>
          </w:p>
        </w:tc>
        <w:tc>
          <w:tcPr>
            <w:tcW w:w="1961" w:type="dxa"/>
            <w:tcBorders>
              <w:top w:val="single" w:color="auto" w:sz="6" w:space="0"/>
              <w:left w:val="single" w:color="auto" w:sz="6" w:space="0"/>
              <w:bottom w:val="single" w:color="auto" w:sz="6" w:space="0"/>
              <w:right w:val="single" w:color="auto" w:sz="6" w:space="0"/>
            </w:tcBorders>
            <w:shd w:val="clear" w:color="auto" w:fill="auto"/>
            <w:vAlign w:val="center"/>
          </w:tcPr>
          <w:p w14:paraId="6E6C83CC">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w:t>
            </w:r>
            <w:r>
              <w:rPr>
                <w:sz w:val="20"/>
                <w:szCs w:val="20"/>
              </w:rPr>
              <w:t>08</w:t>
            </w:r>
            <w:r>
              <w:rPr>
                <w:rFonts w:hint="eastAsia"/>
                <w:sz w:val="20"/>
                <w:szCs w:val="20"/>
              </w:rPr>
              <w:t>-</w:t>
            </w:r>
            <w:r>
              <w:rPr>
                <w:sz w:val="20"/>
                <w:szCs w:val="20"/>
              </w:rPr>
              <w:t>20</w:t>
            </w:r>
          </w:p>
        </w:tc>
      </w:tr>
      <w:tr w14:paraId="6F252E03">
        <w:tblPrEx>
          <w:tblCellMar>
            <w:top w:w="0" w:type="dxa"/>
            <w:left w:w="40" w:type="dxa"/>
            <w:bottom w:w="0" w:type="dxa"/>
            <w:right w:w="40" w:type="dxa"/>
          </w:tblCellMar>
        </w:tblPrEx>
        <w:trPr>
          <w:trHeight w:val="612" w:hRule="atLeast"/>
        </w:trPr>
        <w:tc>
          <w:tcPr>
            <w:tcW w:w="2340" w:type="dxa"/>
            <w:tcBorders>
              <w:top w:val="single" w:color="auto" w:sz="6" w:space="0"/>
              <w:left w:val="single" w:color="auto" w:sz="6" w:space="0"/>
              <w:bottom w:val="single" w:color="auto" w:sz="6" w:space="0"/>
              <w:right w:val="single" w:color="auto" w:sz="6" w:space="0"/>
            </w:tcBorders>
            <w:shd w:val="clear" w:color="auto" w:fill="auto"/>
            <w:vAlign w:val="center"/>
          </w:tcPr>
          <w:p w14:paraId="7DAB1D6E">
            <w:pPr>
              <w:pStyle w:val="13"/>
              <w:ind w:right="435" w:firstLine="700" w:firstLineChars="350"/>
              <w:jc w:val="center"/>
              <w:rPr>
                <w:rStyle w:val="14"/>
                <w:sz w:val="20"/>
                <w:szCs w:val="20"/>
                <w:lang w:val="zh-CN"/>
              </w:rPr>
            </w:pPr>
            <w:r>
              <w:rPr>
                <w:rStyle w:val="14"/>
                <w:rFonts w:hint="eastAsia"/>
                <w:sz w:val="20"/>
                <w:szCs w:val="20"/>
                <w:lang w:val="zh-CN"/>
              </w:rPr>
              <w:t>批准者</w:t>
            </w:r>
          </w:p>
        </w:tc>
        <w:tc>
          <w:tcPr>
            <w:tcW w:w="2934" w:type="dxa"/>
            <w:tcBorders>
              <w:top w:val="single" w:color="auto" w:sz="6" w:space="0"/>
              <w:left w:val="single" w:color="auto" w:sz="6" w:space="0"/>
              <w:bottom w:val="single" w:color="auto" w:sz="6" w:space="0"/>
              <w:right w:val="single" w:color="auto" w:sz="6" w:space="0"/>
            </w:tcBorders>
            <w:shd w:val="clear" w:color="auto" w:fill="auto"/>
            <w:vAlign w:val="center"/>
          </w:tcPr>
          <w:p w14:paraId="289506E3">
            <w:pPr>
              <w:pStyle w:val="16"/>
              <w:jc w:val="center"/>
              <w:rPr>
                <w:sz w:val="20"/>
                <w:szCs w:val="20"/>
              </w:rPr>
            </w:pPr>
            <w:r>
              <w:rPr>
                <w:rFonts w:hint="eastAsia"/>
                <w:sz w:val="20"/>
                <w:szCs w:val="20"/>
              </w:rPr>
              <w:t>刘利民</w:t>
            </w:r>
          </w:p>
        </w:tc>
        <w:tc>
          <w:tcPr>
            <w:tcW w:w="1241" w:type="dxa"/>
            <w:tcBorders>
              <w:top w:val="single" w:color="auto" w:sz="6" w:space="0"/>
              <w:left w:val="single" w:color="auto" w:sz="6" w:space="0"/>
              <w:bottom w:val="single" w:color="auto" w:sz="6" w:space="0"/>
              <w:right w:val="single" w:color="auto" w:sz="6" w:space="0"/>
            </w:tcBorders>
            <w:shd w:val="clear" w:color="auto" w:fill="auto"/>
            <w:vAlign w:val="center"/>
          </w:tcPr>
          <w:p w14:paraId="78360B1A">
            <w:pPr>
              <w:pStyle w:val="13"/>
              <w:jc w:val="center"/>
              <w:rPr>
                <w:rStyle w:val="14"/>
                <w:sz w:val="20"/>
                <w:szCs w:val="20"/>
                <w:lang w:val="zh-CN"/>
              </w:rPr>
            </w:pPr>
            <w:r>
              <w:rPr>
                <w:rFonts w:hint="eastAsia"/>
                <w:sz w:val="20"/>
                <w:szCs w:val="20"/>
                <w:lang w:val="zh-CN"/>
              </w:rPr>
              <w:t>生效日期</w:t>
            </w:r>
          </w:p>
        </w:tc>
        <w:tc>
          <w:tcPr>
            <w:tcW w:w="1961" w:type="dxa"/>
            <w:tcBorders>
              <w:top w:val="single" w:color="auto" w:sz="6" w:space="0"/>
              <w:left w:val="single" w:color="auto" w:sz="6" w:space="0"/>
              <w:bottom w:val="single" w:color="auto" w:sz="6" w:space="0"/>
              <w:right w:val="single" w:color="auto" w:sz="6" w:space="0"/>
            </w:tcBorders>
            <w:shd w:val="clear" w:color="auto" w:fill="auto"/>
            <w:vAlign w:val="center"/>
          </w:tcPr>
          <w:p w14:paraId="4C54E014">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9</w:t>
            </w:r>
            <w:r>
              <w:rPr>
                <w:rFonts w:hint="eastAsia"/>
                <w:sz w:val="20"/>
                <w:szCs w:val="20"/>
              </w:rPr>
              <w:t>-</w:t>
            </w:r>
            <w:r>
              <w:rPr>
                <w:sz w:val="20"/>
                <w:szCs w:val="20"/>
              </w:rPr>
              <w:t>01</w:t>
            </w:r>
          </w:p>
        </w:tc>
      </w:tr>
    </w:tbl>
    <w:p w14:paraId="006325A0">
      <w:pPr>
        <w:outlineLvl w:val="9"/>
      </w:pPr>
    </w:p>
    <w:p w14:paraId="76A71A67">
      <w:pPr>
        <w:pStyle w:val="2"/>
      </w:pPr>
      <w:bookmarkStart w:id="15" w:name="_Toc26165"/>
      <w:bookmarkStart w:id="16" w:name="_Toc15642"/>
      <w:bookmarkStart w:id="17" w:name="_Toc30237"/>
      <w:bookmarkStart w:id="18" w:name="_Toc9886"/>
      <w:bookmarkStart w:id="19" w:name="_Toc13193"/>
      <w:r>
        <w:rPr>
          <w:rFonts w:hint="eastAsia"/>
        </w:rPr>
        <w:t>伦理委员会财务管理制度</w:t>
      </w:r>
      <w:bookmarkEnd w:id="15"/>
      <w:bookmarkEnd w:id="16"/>
      <w:bookmarkEnd w:id="17"/>
      <w:bookmarkEnd w:id="18"/>
      <w:bookmarkEnd w:id="19"/>
    </w:p>
    <w:p w14:paraId="03ACD2DD">
      <w:pPr>
        <w:widowControl w:val="0"/>
        <w:numPr>
          <w:ilvl w:val="0"/>
          <w:numId w:val="5"/>
        </w:numPr>
        <w:spacing w:after="0" w:line="240" w:lineRule="auto"/>
        <w:ind w:firstLine="420" w:firstLineChars="200"/>
        <w:jc w:val="both"/>
        <w:rPr>
          <w:rFonts w:hint="eastAsia" w:ascii="宋体" w:hAnsi="宋体" w:eastAsia="宋体" w:cs="宋体"/>
          <w:sz w:val="21"/>
          <w:szCs w:val="21"/>
          <w:lang w:bidi="ar"/>
        </w:rPr>
      </w:pPr>
      <w:r>
        <w:rPr>
          <w:rFonts w:hint="eastAsia" w:ascii="宋体" w:hAnsi="宋体" w:eastAsia="宋体" w:cs="宋体"/>
          <w:sz w:val="21"/>
          <w:szCs w:val="21"/>
          <w:lang w:bidi="ar"/>
        </w:rPr>
        <w:t>伦理委员会财政经费纳入我院财政预算，专款专项，按专项经费管理，经费使用审批流程符合机构财务管理规定，并接受相关部门的监管。</w:t>
      </w:r>
    </w:p>
    <w:p w14:paraId="3A80CF11">
      <w:pPr>
        <w:widowControl w:val="0"/>
        <w:numPr>
          <w:ilvl w:val="-1"/>
          <w:numId w:val="0"/>
        </w:numPr>
        <w:spacing w:after="0" w:line="240" w:lineRule="auto"/>
        <w:ind w:firstLine="0" w:firstLineChars="0"/>
        <w:jc w:val="both"/>
        <w:rPr>
          <w:rFonts w:hint="eastAsia" w:ascii="宋体" w:hAnsi="宋体" w:eastAsia="宋体" w:cs="宋体"/>
          <w:sz w:val="21"/>
          <w:szCs w:val="21"/>
          <w:lang w:bidi="ar"/>
        </w:rPr>
      </w:pPr>
    </w:p>
    <w:p w14:paraId="71BD806B">
      <w:pPr>
        <w:widowControl w:val="0"/>
        <w:spacing w:after="0" w:line="240" w:lineRule="auto"/>
        <w:ind w:firstLine="420" w:firstLineChars="200"/>
        <w:jc w:val="both"/>
        <w:rPr>
          <w:rFonts w:ascii="宋体" w:hAnsi="宋体" w:eastAsia="宋体" w:cs="宋体"/>
          <w:sz w:val="21"/>
          <w:szCs w:val="21"/>
          <w:lang w:bidi="ar"/>
        </w:rPr>
      </w:pPr>
      <w:r>
        <w:rPr>
          <w:rFonts w:hint="eastAsia" w:ascii="宋体" w:hAnsi="宋体" w:eastAsia="宋体" w:cs="宋体"/>
          <w:sz w:val="21"/>
          <w:szCs w:val="21"/>
          <w:lang w:bidi="ar"/>
        </w:rPr>
        <w:t>二、伦理委员会经费来源于项目审查费，伦理委员会设立明确的审查收费标准并在公众可及的官网上公开。当伦理审查经费不足时，医院年度预算（伦理审查费）予以额度资助。</w:t>
      </w:r>
    </w:p>
    <w:p w14:paraId="0DF48EC5">
      <w:pPr>
        <w:widowControl w:val="0"/>
        <w:spacing w:after="0" w:line="240" w:lineRule="auto"/>
        <w:ind w:firstLine="420" w:firstLineChars="200"/>
        <w:jc w:val="both"/>
        <w:rPr>
          <w:rFonts w:ascii="宋体" w:hAnsi="宋体" w:eastAsia="宋体" w:cs="宋体"/>
          <w:sz w:val="21"/>
          <w:szCs w:val="21"/>
          <w:lang w:bidi="ar"/>
        </w:rPr>
      </w:pPr>
      <w:r>
        <w:rPr>
          <w:rFonts w:hint="eastAsia" w:ascii="宋体" w:hAnsi="宋体" w:eastAsia="宋体" w:cs="宋体"/>
          <w:sz w:val="21"/>
          <w:szCs w:val="21"/>
          <w:lang w:bidi="ar"/>
        </w:rPr>
        <w:t>伦理委员会收取审查费用的项目类别为药物/器械临床试验/有</w:t>
      </w:r>
      <w:r>
        <w:rPr>
          <w:rFonts w:hint="eastAsia" w:ascii="宋体" w:hAnsi="宋体" w:eastAsia="宋体" w:cs="宋体"/>
          <w:sz w:val="21"/>
          <w:szCs w:val="21"/>
          <w:lang w:eastAsia="zh-CN" w:bidi="ar"/>
        </w:rPr>
        <w:t>申办者</w:t>
      </w:r>
      <w:r>
        <w:rPr>
          <w:rFonts w:hint="eastAsia" w:ascii="宋体" w:hAnsi="宋体" w:eastAsia="宋体" w:cs="宋体"/>
          <w:sz w:val="21"/>
          <w:szCs w:val="21"/>
          <w:lang w:bidi="ar"/>
        </w:rPr>
        <w:t>资金赞助的研究者发起的临床研究。</w:t>
      </w:r>
    </w:p>
    <w:p w14:paraId="7A15E5D1">
      <w:pPr>
        <w:widowControl w:val="0"/>
        <w:spacing w:after="0" w:line="240" w:lineRule="auto"/>
        <w:ind w:firstLine="420" w:firstLineChars="200"/>
        <w:jc w:val="both"/>
        <w:rPr>
          <w:rFonts w:ascii="宋体" w:hAnsi="宋体" w:eastAsia="宋体" w:cs="宋体"/>
          <w:sz w:val="21"/>
          <w:szCs w:val="21"/>
          <w:lang w:bidi="ar"/>
        </w:rPr>
      </w:pPr>
      <w:r>
        <w:rPr>
          <w:rFonts w:hint="eastAsia" w:ascii="宋体" w:hAnsi="宋体" w:eastAsia="宋体" w:cs="宋体"/>
          <w:sz w:val="21"/>
          <w:szCs w:val="21"/>
          <w:lang w:bidi="ar"/>
        </w:rPr>
        <w:t>数额说明：</w:t>
      </w:r>
    </w:p>
    <w:tbl>
      <w:tblPr>
        <w:tblStyle w:val="7"/>
        <w:tblW w:w="6240" w:type="dxa"/>
        <w:tblInd w:w="0" w:type="dxa"/>
        <w:tblLayout w:type="fixed"/>
        <w:tblCellMar>
          <w:top w:w="15" w:type="dxa"/>
          <w:left w:w="15" w:type="dxa"/>
          <w:bottom w:w="15" w:type="dxa"/>
          <w:right w:w="15" w:type="dxa"/>
        </w:tblCellMar>
      </w:tblPr>
      <w:tblGrid>
        <w:gridCol w:w="1650"/>
        <w:gridCol w:w="1905"/>
        <w:gridCol w:w="2685"/>
      </w:tblGrid>
      <w:tr w14:paraId="3CDC57C9">
        <w:tblPrEx>
          <w:tblCellMar>
            <w:top w:w="15" w:type="dxa"/>
            <w:left w:w="15" w:type="dxa"/>
            <w:bottom w:w="15" w:type="dxa"/>
            <w:right w:w="15" w:type="dxa"/>
          </w:tblCellMar>
        </w:tblPrEx>
        <w:trPr>
          <w:trHeight w:val="454" w:hRule="exac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E835B">
            <w:pPr>
              <w:rPr>
                <w:rFonts w:ascii="宋体" w:hAnsi="宋体" w:eastAsia="宋体" w:cs="宋体"/>
                <w:color w:val="000000"/>
              </w:rPr>
            </w:pP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1FA6B">
            <w:pPr>
              <w:textAlignment w:val="center"/>
              <w:rPr>
                <w:rFonts w:ascii="宋体" w:hAnsi="宋体" w:eastAsia="宋体" w:cs="宋体"/>
                <w:color w:val="000000"/>
              </w:rPr>
            </w:pPr>
            <w:r>
              <w:rPr>
                <w:rFonts w:hint="eastAsia" w:ascii="宋体" w:hAnsi="宋体" w:eastAsia="宋体" w:cs="宋体"/>
                <w:color w:val="000000"/>
                <w:lang w:bidi="ar"/>
              </w:rPr>
              <w:t>初始审查</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0DC32">
            <w:pPr>
              <w:textAlignment w:val="center"/>
              <w:rPr>
                <w:rFonts w:ascii="宋体" w:hAnsi="宋体" w:eastAsia="宋体" w:cs="宋体"/>
                <w:color w:val="000000"/>
              </w:rPr>
            </w:pPr>
            <w:r>
              <w:rPr>
                <w:rFonts w:hint="eastAsia" w:ascii="宋体" w:hAnsi="宋体" w:eastAsia="宋体" w:cs="宋体"/>
                <w:color w:val="000000"/>
                <w:lang w:bidi="ar"/>
              </w:rPr>
              <w:t>修正案审查</w:t>
            </w:r>
          </w:p>
        </w:tc>
      </w:tr>
      <w:tr w14:paraId="5E0533CC">
        <w:tblPrEx>
          <w:tblCellMar>
            <w:top w:w="15" w:type="dxa"/>
            <w:left w:w="15" w:type="dxa"/>
            <w:bottom w:w="15" w:type="dxa"/>
            <w:right w:w="15" w:type="dxa"/>
          </w:tblCellMar>
        </w:tblPrEx>
        <w:trPr>
          <w:trHeight w:val="454" w:hRule="exac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89E4">
            <w:pPr>
              <w:textAlignment w:val="center"/>
              <w:rPr>
                <w:rFonts w:ascii="宋体" w:hAnsi="宋体" w:eastAsia="宋体" w:cs="宋体"/>
                <w:color w:val="000000"/>
              </w:rPr>
            </w:pPr>
            <w:r>
              <w:rPr>
                <w:rFonts w:hint="eastAsia" w:ascii="宋体" w:hAnsi="宋体" w:eastAsia="宋体" w:cs="宋体"/>
                <w:color w:val="000000"/>
                <w:lang w:bidi="ar"/>
              </w:rPr>
              <w:t>会议审查</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6E1CB">
            <w:pPr>
              <w:textAlignment w:val="center"/>
              <w:rPr>
                <w:rFonts w:ascii="宋体" w:hAnsi="宋体" w:eastAsia="宋体" w:cs="宋体"/>
                <w:color w:val="000000"/>
              </w:rPr>
            </w:pPr>
            <w:r>
              <w:rPr>
                <w:rFonts w:hint="eastAsia" w:ascii="宋体" w:hAnsi="宋体" w:eastAsia="宋体" w:cs="宋体"/>
                <w:color w:val="000000"/>
                <w:lang w:bidi="ar"/>
              </w:rPr>
              <w:t>5000元/项目</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0D3A">
            <w:pPr>
              <w:textAlignment w:val="center"/>
              <w:rPr>
                <w:rFonts w:ascii="宋体" w:hAnsi="宋体" w:eastAsia="宋体" w:cs="宋体"/>
                <w:color w:val="000000"/>
              </w:rPr>
            </w:pPr>
            <w:r>
              <w:rPr>
                <w:rFonts w:hint="eastAsia" w:ascii="宋体" w:hAnsi="宋体" w:eastAsia="宋体" w:cs="宋体"/>
                <w:color w:val="000000"/>
                <w:lang w:bidi="ar"/>
              </w:rPr>
              <w:t>5000元/项目</w:t>
            </w:r>
          </w:p>
        </w:tc>
      </w:tr>
      <w:tr w14:paraId="397E9E96">
        <w:tblPrEx>
          <w:tblCellMar>
            <w:top w:w="15" w:type="dxa"/>
            <w:left w:w="15" w:type="dxa"/>
            <w:bottom w:w="15" w:type="dxa"/>
            <w:right w:w="15" w:type="dxa"/>
          </w:tblCellMar>
        </w:tblPrEx>
        <w:trPr>
          <w:trHeight w:val="454" w:hRule="exact"/>
        </w:trPr>
        <w:tc>
          <w:tcPr>
            <w:tcW w:w="1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10F20">
            <w:pPr>
              <w:textAlignment w:val="center"/>
              <w:rPr>
                <w:rFonts w:ascii="宋体" w:hAnsi="宋体" w:eastAsia="宋体" w:cs="宋体"/>
                <w:color w:val="000000"/>
              </w:rPr>
            </w:pPr>
            <w:r>
              <w:rPr>
                <w:rFonts w:hint="eastAsia" w:ascii="宋体" w:hAnsi="宋体" w:eastAsia="宋体" w:cs="宋体"/>
                <w:color w:val="000000"/>
                <w:lang w:bidi="ar"/>
              </w:rPr>
              <w:t>快速审查</w:t>
            </w:r>
          </w:p>
        </w:tc>
        <w:tc>
          <w:tcPr>
            <w:tcW w:w="19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DF553">
            <w:pPr>
              <w:textAlignment w:val="center"/>
              <w:rPr>
                <w:rFonts w:ascii="宋体" w:hAnsi="宋体" w:eastAsia="宋体" w:cs="宋体"/>
                <w:color w:val="000000"/>
              </w:rPr>
            </w:pPr>
            <w:r>
              <w:rPr>
                <w:rFonts w:hint="eastAsia" w:ascii="宋体" w:hAnsi="宋体" w:eastAsia="宋体" w:cs="宋体"/>
                <w:color w:val="000000"/>
                <w:lang w:bidi="ar"/>
              </w:rPr>
              <w:t>3000元/项目</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93B8E">
            <w:pPr>
              <w:textAlignment w:val="center"/>
              <w:rPr>
                <w:rFonts w:ascii="宋体" w:hAnsi="宋体" w:eastAsia="宋体" w:cs="宋体"/>
                <w:color w:val="000000"/>
              </w:rPr>
            </w:pPr>
            <w:r>
              <w:rPr>
                <w:rFonts w:hint="eastAsia" w:ascii="宋体" w:hAnsi="宋体" w:eastAsia="宋体" w:cs="宋体"/>
                <w:color w:val="000000"/>
                <w:lang w:bidi="ar"/>
              </w:rPr>
              <w:t>2000元/项目</w:t>
            </w:r>
          </w:p>
        </w:tc>
      </w:tr>
    </w:tbl>
    <w:p w14:paraId="6C8812DF">
      <w:pPr>
        <w:widowControl w:val="0"/>
        <w:spacing w:after="0" w:line="240" w:lineRule="auto"/>
        <w:ind w:firstLine="420" w:firstLineChars="200"/>
        <w:jc w:val="both"/>
        <w:rPr>
          <w:rFonts w:hint="eastAsia" w:ascii="宋体" w:hAnsi="宋体" w:eastAsia="宋体" w:cs="宋体"/>
          <w:sz w:val="21"/>
          <w:szCs w:val="21"/>
          <w:lang w:bidi="ar"/>
        </w:rPr>
      </w:pPr>
    </w:p>
    <w:p w14:paraId="372398CB">
      <w:pPr>
        <w:widowControl w:val="0"/>
        <w:spacing w:after="0" w:line="240" w:lineRule="auto"/>
        <w:ind w:firstLine="420" w:firstLineChars="200"/>
        <w:jc w:val="both"/>
        <w:rPr>
          <w:rFonts w:ascii="宋体" w:hAnsi="宋体" w:eastAsia="宋体" w:cs="宋体"/>
          <w:sz w:val="21"/>
          <w:szCs w:val="21"/>
          <w:lang w:bidi="ar"/>
        </w:rPr>
      </w:pPr>
      <w:r>
        <w:rPr>
          <w:rFonts w:hint="eastAsia" w:ascii="宋体" w:hAnsi="宋体" w:eastAsia="宋体" w:cs="宋体"/>
          <w:sz w:val="21"/>
          <w:szCs w:val="21"/>
          <w:lang w:bidi="ar"/>
        </w:rPr>
        <w:t>三、伦理委员会应明确经费支出的范围与标准，如培训费、审查劳务费和咨询费等，详细标准见下表：</w:t>
      </w:r>
    </w:p>
    <w:tbl>
      <w:tblPr>
        <w:tblStyle w:val="7"/>
        <w:tblW w:w="8560" w:type="dxa"/>
        <w:tblInd w:w="0" w:type="dxa"/>
        <w:tblLayout w:type="fixed"/>
        <w:tblCellMar>
          <w:top w:w="15" w:type="dxa"/>
          <w:left w:w="15" w:type="dxa"/>
          <w:bottom w:w="15" w:type="dxa"/>
          <w:right w:w="15" w:type="dxa"/>
        </w:tblCellMar>
      </w:tblPr>
      <w:tblGrid>
        <w:gridCol w:w="2198"/>
        <w:gridCol w:w="2652"/>
        <w:gridCol w:w="3710"/>
      </w:tblGrid>
      <w:tr w14:paraId="617A9015">
        <w:tblPrEx>
          <w:tblCellMar>
            <w:top w:w="15" w:type="dxa"/>
            <w:left w:w="15" w:type="dxa"/>
            <w:bottom w:w="15" w:type="dxa"/>
            <w:right w:w="15" w:type="dxa"/>
          </w:tblCellMar>
        </w:tblPrEx>
        <w:trPr>
          <w:trHeight w:val="420" w:hRule="exact"/>
        </w:trPr>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6C0D">
            <w:pPr>
              <w:textAlignment w:val="center"/>
              <w:rPr>
                <w:rFonts w:ascii="宋体" w:hAnsi="宋体" w:eastAsia="宋体" w:cs="宋体"/>
                <w:color w:val="000000"/>
              </w:rPr>
            </w:pPr>
            <w:r>
              <w:rPr>
                <w:rFonts w:hint="eastAsia" w:ascii="宋体" w:hAnsi="宋体" w:eastAsia="宋体" w:cs="宋体"/>
                <w:color w:val="000000"/>
                <w:lang w:bidi="ar"/>
              </w:rPr>
              <w:t>费用类别</w:t>
            </w:r>
          </w:p>
        </w:tc>
        <w:tc>
          <w:tcPr>
            <w:tcW w:w="2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136D">
            <w:pPr>
              <w:textAlignment w:val="center"/>
              <w:rPr>
                <w:rFonts w:ascii="宋体" w:hAnsi="宋体" w:eastAsia="宋体" w:cs="宋体"/>
                <w:color w:val="000000"/>
              </w:rPr>
            </w:pPr>
            <w:r>
              <w:rPr>
                <w:rFonts w:hint="eastAsia" w:ascii="宋体" w:hAnsi="宋体" w:eastAsia="宋体" w:cs="宋体"/>
                <w:color w:val="000000"/>
                <w:lang w:bidi="ar"/>
              </w:rPr>
              <w:t>参与人员</w:t>
            </w:r>
          </w:p>
        </w:tc>
        <w:tc>
          <w:tcPr>
            <w:tcW w:w="3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D1B3B">
            <w:pPr>
              <w:textAlignment w:val="center"/>
              <w:rPr>
                <w:rFonts w:ascii="宋体" w:hAnsi="宋体" w:eastAsia="宋体" w:cs="宋体"/>
                <w:color w:val="000000"/>
              </w:rPr>
            </w:pPr>
            <w:r>
              <w:rPr>
                <w:rFonts w:hint="eastAsia" w:ascii="宋体" w:hAnsi="宋体" w:eastAsia="宋体" w:cs="宋体"/>
                <w:color w:val="000000"/>
                <w:lang w:bidi="ar"/>
              </w:rPr>
              <w:t>费用标准</w:t>
            </w:r>
          </w:p>
        </w:tc>
      </w:tr>
      <w:tr w14:paraId="3144B4B5">
        <w:tblPrEx>
          <w:tblCellMar>
            <w:top w:w="15" w:type="dxa"/>
            <w:left w:w="15" w:type="dxa"/>
            <w:bottom w:w="15" w:type="dxa"/>
            <w:right w:w="15" w:type="dxa"/>
          </w:tblCellMar>
        </w:tblPrEx>
        <w:trPr>
          <w:trHeight w:val="420" w:hRule="exact"/>
        </w:trPr>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653D1">
            <w:pPr>
              <w:textAlignment w:val="center"/>
              <w:rPr>
                <w:rFonts w:ascii="宋体" w:hAnsi="宋体" w:eastAsia="宋体" w:cs="宋体"/>
                <w:color w:val="000000"/>
              </w:rPr>
            </w:pPr>
            <w:r>
              <w:rPr>
                <w:rFonts w:hint="eastAsia" w:ascii="宋体" w:hAnsi="宋体" w:eastAsia="宋体" w:cs="宋体"/>
                <w:color w:val="000000"/>
                <w:lang w:bidi="ar"/>
              </w:rPr>
              <w:t>会前主审</w:t>
            </w:r>
          </w:p>
        </w:tc>
        <w:tc>
          <w:tcPr>
            <w:tcW w:w="2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A38C4">
            <w:pPr>
              <w:textAlignment w:val="center"/>
              <w:rPr>
                <w:rFonts w:ascii="宋体" w:hAnsi="宋体" w:eastAsia="宋体" w:cs="宋体"/>
                <w:color w:val="000000"/>
              </w:rPr>
            </w:pPr>
            <w:r>
              <w:rPr>
                <w:rFonts w:hint="eastAsia" w:ascii="宋体" w:hAnsi="宋体" w:eastAsia="宋体" w:cs="宋体"/>
                <w:color w:val="000000"/>
                <w:lang w:bidi="ar"/>
              </w:rPr>
              <w:t>委员</w:t>
            </w:r>
          </w:p>
        </w:tc>
        <w:tc>
          <w:tcPr>
            <w:tcW w:w="3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087C1">
            <w:pPr>
              <w:textAlignment w:val="center"/>
              <w:rPr>
                <w:rFonts w:ascii="宋体" w:hAnsi="宋体" w:eastAsia="宋体" w:cs="宋体"/>
                <w:color w:val="000000"/>
              </w:rPr>
            </w:pPr>
            <w:r>
              <w:rPr>
                <w:rFonts w:hint="eastAsia" w:ascii="宋体" w:hAnsi="宋体" w:eastAsia="宋体" w:cs="宋体"/>
                <w:color w:val="000000"/>
                <w:lang w:bidi="ar"/>
              </w:rPr>
              <w:t>100元/人/项目</w:t>
            </w:r>
          </w:p>
        </w:tc>
      </w:tr>
      <w:tr w14:paraId="3F37E7CA">
        <w:tblPrEx>
          <w:tblCellMar>
            <w:top w:w="15" w:type="dxa"/>
            <w:left w:w="15" w:type="dxa"/>
            <w:bottom w:w="15" w:type="dxa"/>
            <w:right w:w="15" w:type="dxa"/>
          </w:tblCellMar>
        </w:tblPrEx>
        <w:trPr>
          <w:trHeight w:val="646" w:hRule="exact"/>
        </w:trPr>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4312">
            <w:pPr>
              <w:textAlignment w:val="center"/>
              <w:rPr>
                <w:rFonts w:ascii="宋体" w:hAnsi="宋体" w:eastAsia="宋体" w:cs="宋体"/>
                <w:color w:val="000000"/>
              </w:rPr>
            </w:pPr>
            <w:r>
              <w:rPr>
                <w:rFonts w:hint="eastAsia" w:ascii="宋体" w:hAnsi="宋体" w:eastAsia="宋体" w:cs="宋体"/>
                <w:color w:val="000000"/>
                <w:lang w:bidi="ar"/>
              </w:rPr>
              <w:t>会议审查劳务费</w:t>
            </w:r>
          </w:p>
        </w:tc>
        <w:tc>
          <w:tcPr>
            <w:tcW w:w="2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CFAD">
            <w:pPr>
              <w:textAlignment w:val="center"/>
              <w:rPr>
                <w:rFonts w:ascii="宋体" w:hAnsi="宋体" w:eastAsia="宋体" w:cs="宋体"/>
                <w:color w:val="000000"/>
              </w:rPr>
            </w:pPr>
            <w:r>
              <w:rPr>
                <w:rFonts w:hint="eastAsia" w:ascii="宋体" w:hAnsi="宋体" w:eastAsia="宋体" w:cs="宋体"/>
                <w:color w:val="000000"/>
                <w:lang w:bidi="ar"/>
              </w:rPr>
              <w:t>委员、秘书</w:t>
            </w:r>
          </w:p>
        </w:tc>
        <w:tc>
          <w:tcPr>
            <w:tcW w:w="3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DD3EC">
            <w:pPr>
              <w:textAlignment w:val="center"/>
              <w:rPr>
                <w:rFonts w:ascii="宋体" w:hAnsi="宋体" w:eastAsia="宋体" w:cs="宋体"/>
                <w:color w:val="000000"/>
              </w:rPr>
            </w:pPr>
            <w:r>
              <w:rPr>
                <w:rFonts w:hint="eastAsia" w:ascii="宋体" w:hAnsi="宋体" w:eastAsia="宋体" w:cs="宋体"/>
                <w:color w:val="000000"/>
                <w:lang w:bidi="ar"/>
              </w:rPr>
              <w:t>院外委员及会议主席每人发放评审费1200元，其余每人发放评审费800元</w:t>
            </w:r>
          </w:p>
        </w:tc>
      </w:tr>
      <w:tr w14:paraId="4AA5A418">
        <w:tblPrEx>
          <w:tblCellMar>
            <w:top w:w="15" w:type="dxa"/>
            <w:left w:w="15" w:type="dxa"/>
            <w:bottom w:w="15" w:type="dxa"/>
            <w:right w:w="15" w:type="dxa"/>
          </w:tblCellMar>
        </w:tblPrEx>
        <w:trPr>
          <w:trHeight w:val="420" w:hRule="exact"/>
        </w:trPr>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0F2A">
            <w:pPr>
              <w:textAlignment w:val="center"/>
              <w:rPr>
                <w:rFonts w:ascii="宋体" w:hAnsi="宋体" w:eastAsia="宋体" w:cs="宋体"/>
                <w:color w:val="000000"/>
              </w:rPr>
            </w:pPr>
            <w:r>
              <w:rPr>
                <w:rFonts w:hint="eastAsia" w:ascii="宋体" w:hAnsi="宋体" w:eastAsia="宋体" w:cs="宋体"/>
                <w:color w:val="000000"/>
                <w:lang w:bidi="ar"/>
              </w:rPr>
              <w:t>快审季度劳务费</w:t>
            </w:r>
          </w:p>
        </w:tc>
        <w:tc>
          <w:tcPr>
            <w:tcW w:w="2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B5D8">
            <w:pPr>
              <w:textAlignment w:val="center"/>
              <w:rPr>
                <w:rFonts w:ascii="宋体" w:hAnsi="宋体" w:eastAsia="宋体" w:cs="宋体"/>
                <w:color w:val="000000"/>
              </w:rPr>
            </w:pPr>
            <w:r>
              <w:rPr>
                <w:rFonts w:hint="eastAsia" w:ascii="宋体" w:hAnsi="宋体" w:eastAsia="宋体" w:cs="宋体"/>
                <w:color w:val="000000"/>
                <w:lang w:bidi="ar"/>
              </w:rPr>
              <w:t>委员、秘书</w:t>
            </w:r>
          </w:p>
        </w:tc>
        <w:tc>
          <w:tcPr>
            <w:tcW w:w="3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F56A">
            <w:pPr>
              <w:textAlignment w:val="center"/>
              <w:rPr>
                <w:rFonts w:ascii="宋体" w:hAnsi="宋体" w:eastAsia="宋体" w:cs="宋体"/>
                <w:color w:val="000000"/>
              </w:rPr>
            </w:pPr>
            <w:r>
              <w:rPr>
                <w:rFonts w:hint="eastAsia" w:ascii="宋体" w:hAnsi="宋体" w:eastAsia="宋体" w:cs="宋体"/>
                <w:color w:val="000000"/>
                <w:lang w:bidi="ar"/>
              </w:rPr>
              <w:t>1500元/人</w:t>
            </w:r>
          </w:p>
        </w:tc>
      </w:tr>
      <w:tr w14:paraId="36B73002">
        <w:tblPrEx>
          <w:tblCellMar>
            <w:top w:w="15" w:type="dxa"/>
            <w:left w:w="15" w:type="dxa"/>
            <w:bottom w:w="15" w:type="dxa"/>
            <w:right w:w="15" w:type="dxa"/>
          </w:tblCellMar>
        </w:tblPrEx>
        <w:trPr>
          <w:trHeight w:val="420" w:hRule="exact"/>
        </w:trPr>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51C96">
            <w:pPr>
              <w:textAlignment w:val="center"/>
              <w:rPr>
                <w:rFonts w:ascii="宋体" w:hAnsi="宋体" w:eastAsia="宋体" w:cs="宋体"/>
                <w:color w:val="000000"/>
              </w:rPr>
            </w:pPr>
            <w:r>
              <w:rPr>
                <w:rFonts w:hint="eastAsia" w:ascii="宋体" w:hAnsi="宋体" w:eastAsia="宋体" w:cs="宋体"/>
                <w:color w:val="000000"/>
                <w:lang w:bidi="ar"/>
              </w:rPr>
              <w:t>咨询费</w:t>
            </w:r>
          </w:p>
        </w:tc>
        <w:tc>
          <w:tcPr>
            <w:tcW w:w="2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6879A">
            <w:pPr>
              <w:textAlignment w:val="center"/>
              <w:rPr>
                <w:rFonts w:ascii="宋体" w:hAnsi="宋体" w:eastAsia="宋体" w:cs="宋体"/>
                <w:color w:val="000000"/>
              </w:rPr>
            </w:pPr>
            <w:r>
              <w:rPr>
                <w:rFonts w:hint="eastAsia" w:ascii="宋体" w:hAnsi="宋体" w:eastAsia="宋体" w:cs="宋体"/>
                <w:color w:val="000000"/>
                <w:lang w:bidi="ar"/>
              </w:rPr>
              <w:t>独立顾问</w:t>
            </w:r>
          </w:p>
        </w:tc>
        <w:tc>
          <w:tcPr>
            <w:tcW w:w="3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CE202">
            <w:pPr>
              <w:textAlignment w:val="center"/>
              <w:rPr>
                <w:rFonts w:ascii="宋体" w:hAnsi="宋体" w:eastAsia="宋体" w:cs="宋体"/>
                <w:color w:val="000000"/>
              </w:rPr>
            </w:pPr>
            <w:r>
              <w:rPr>
                <w:rFonts w:hint="eastAsia" w:ascii="宋体" w:hAnsi="宋体" w:eastAsia="宋体" w:cs="宋体"/>
                <w:color w:val="000000"/>
                <w:lang w:bidi="ar"/>
              </w:rPr>
              <w:t>100元/人/项目</w:t>
            </w:r>
          </w:p>
        </w:tc>
      </w:tr>
      <w:tr w14:paraId="6E439F7D">
        <w:tblPrEx>
          <w:tblCellMar>
            <w:top w:w="15" w:type="dxa"/>
            <w:left w:w="15" w:type="dxa"/>
            <w:bottom w:w="15" w:type="dxa"/>
            <w:right w:w="15" w:type="dxa"/>
          </w:tblCellMar>
        </w:tblPrEx>
        <w:trPr>
          <w:trHeight w:val="841" w:hRule="exact"/>
        </w:trPr>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70A9B">
            <w:pPr>
              <w:textAlignment w:val="center"/>
              <w:rPr>
                <w:rFonts w:hint="eastAsia" w:ascii="宋体" w:hAnsi="宋体" w:eastAsia="宋体" w:cs="宋体"/>
                <w:color w:val="000000"/>
                <w:sz w:val="22"/>
                <w:szCs w:val="22"/>
                <w:lang w:val="en-US" w:eastAsia="zh-CN" w:bidi="ar"/>
              </w:rPr>
            </w:pPr>
            <w:r>
              <w:rPr>
                <w:rFonts w:hint="eastAsia" w:ascii="宋体" w:hAnsi="宋体" w:eastAsia="宋体" w:cs="宋体"/>
                <w:color w:val="000000"/>
                <w:lang w:val="en-US" w:eastAsia="zh-CN" w:bidi="ar"/>
              </w:rPr>
              <w:t>技术咨询费</w:t>
            </w:r>
          </w:p>
        </w:tc>
        <w:tc>
          <w:tcPr>
            <w:tcW w:w="2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6E513">
            <w:pPr>
              <w:textAlignment w:val="center"/>
              <w:rPr>
                <w:rFonts w:hint="eastAsia" w:ascii="宋体" w:hAnsi="宋体" w:eastAsia="宋体" w:cs="宋体"/>
                <w:color w:val="000000"/>
                <w:sz w:val="22"/>
                <w:szCs w:val="22"/>
                <w:lang w:val="en-US" w:eastAsia="zh-CN" w:bidi="ar"/>
              </w:rPr>
            </w:pPr>
            <w:r>
              <w:rPr>
                <w:rFonts w:hint="eastAsia" w:ascii="宋体" w:hAnsi="宋体" w:eastAsia="宋体" w:cs="宋体"/>
                <w:color w:val="000000"/>
                <w:lang w:val="en-US" w:eastAsia="zh-CN" w:bidi="ar"/>
              </w:rPr>
              <w:t>信息化系统技术支持人员</w:t>
            </w:r>
          </w:p>
        </w:tc>
        <w:tc>
          <w:tcPr>
            <w:tcW w:w="3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3694">
            <w:pPr>
              <w:spacing w:after="0"/>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按实际工作产生的工时计算，</w:t>
            </w:r>
            <w:r>
              <w:rPr>
                <w:rFonts w:hint="eastAsia" w:ascii="宋体" w:hAnsi="宋体" w:eastAsia="宋体" w:cs="宋体"/>
                <w:color w:val="000000"/>
                <w:lang w:bidi="ar"/>
              </w:rPr>
              <w:t>1</w:t>
            </w:r>
            <w:r>
              <w:rPr>
                <w:rFonts w:hint="eastAsia" w:ascii="宋体" w:hAnsi="宋体" w:eastAsia="宋体" w:cs="宋体"/>
                <w:color w:val="000000"/>
                <w:lang w:val="en-US" w:eastAsia="zh-CN" w:bidi="ar"/>
              </w:rPr>
              <w:t>2</w:t>
            </w:r>
            <w:r>
              <w:rPr>
                <w:rFonts w:hint="eastAsia" w:ascii="宋体" w:hAnsi="宋体" w:eastAsia="宋体" w:cs="宋体"/>
                <w:color w:val="000000"/>
                <w:lang w:bidi="ar"/>
              </w:rPr>
              <w:t>00元/人/</w:t>
            </w:r>
            <w:r>
              <w:rPr>
                <w:rFonts w:hint="eastAsia" w:ascii="宋体" w:hAnsi="宋体" w:eastAsia="宋体" w:cs="宋体"/>
                <w:color w:val="000000"/>
                <w:lang w:val="en-US" w:eastAsia="zh-CN" w:bidi="ar"/>
              </w:rPr>
              <w:t>天；</w:t>
            </w:r>
          </w:p>
          <w:p w14:paraId="1D8B2385">
            <w:pPr>
              <w:textAlignment w:val="center"/>
              <w:rPr>
                <w:rFonts w:hint="eastAsia" w:ascii="宋体" w:hAnsi="宋体" w:eastAsia="宋体" w:cs="宋体"/>
                <w:color w:val="000000"/>
                <w:lang w:val="en-US" w:eastAsia="zh-CN" w:bidi="ar"/>
              </w:rPr>
            </w:pPr>
            <w:r>
              <w:rPr>
                <w:rFonts w:hint="eastAsia" w:ascii="宋体" w:hAnsi="宋体" w:eastAsia="宋体" w:cs="宋体"/>
                <w:color w:val="000000"/>
                <w:lang w:val="en-US" w:eastAsia="zh-CN" w:bidi="ar"/>
              </w:rPr>
              <w:t>系统维护费，按实际合同金额支付</w:t>
            </w:r>
          </w:p>
          <w:p w14:paraId="0D3E4743">
            <w:pPr>
              <w:textAlignment w:val="center"/>
              <w:rPr>
                <w:rFonts w:hint="eastAsia" w:ascii="宋体" w:hAnsi="宋体" w:eastAsia="宋体" w:cs="宋体"/>
                <w:color w:val="000000"/>
                <w:sz w:val="22"/>
                <w:szCs w:val="22"/>
                <w:lang w:val="en-US" w:eastAsia="zh-CN" w:bidi="ar"/>
              </w:rPr>
            </w:pPr>
          </w:p>
        </w:tc>
      </w:tr>
      <w:tr w14:paraId="40B06F87">
        <w:tblPrEx>
          <w:tblCellMar>
            <w:top w:w="15" w:type="dxa"/>
            <w:left w:w="15" w:type="dxa"/>
            <w:bottom w:w="15" w:type="dxa"/>
            <w:right w:w="15" w:type="dxa"/>
          </w:tblCellMar>
        </w:tblPrEx>
        <w:trPr>
          <w:trHeight w:val="646" w:hRule="exact"/>
        </w:trPr>
        <w:tc>
          <w:tcPr>
            <w:tcW w:w="21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988EE">
            <w:pPr>
              <w:textAlignment w:val="center"/>
              <w:rPr>
                <w:rFonts w:ascii="宋体" w:hAnsi="宋体" w:eastAsia="宋体" w:cs="宋体"/>
                <w:color w:val="000000"/>
                <w:lang w:bidi="ar"/>
              </w:rPr>
            </w:pPr>
            <w:r>
              <w:rPr>
                <w:rFonts w:hint="eastAsia" w:ascii="宋体" w:hAnsi="宋体" w:eastAsia="宋体" w:cs="宋体"/>
                <w:color w:val="000000"/>
                <w:lang w:bidi="ar"/>
              </w:rPr>
              <w:t>培训费</w:t>
            </w:r>
          </w:p>
        </w:tc>
        <w:tc>
          <w:tcPr>
            <w:tcW w:w="26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E1E2">
            <w:pPr>
              <w:textAlignment w:val="center"/>
              <w:rPr>
                <w:rFonts w:ascii="宋体" w:hAnsi="宋体" w:eastAsia="宋体" w:cs="宋体"/>
                <w:color w:val="000000"/>
                <w:lang w:bidi="ar"/>
              </w:rPr>
            </w:pPr>
            <w:r>
              <w:rPr>
                <w:rFonts w:hint="eastAsia" w:ascii="宋体" w:hAnsi="宋体" w:eastAsia="宋体" w:cs="宋体"/>
                <w:color w:val="000000"/>
                <w:lang w:bidi="ar"/>
              </w:rPr>
              <w:t>委员、秘书、独立顾问、聘请专家、研究者等</w:t>
            </w:r>
          </w:p>
        </w:tc>
        <w:tc>
          <w:tcPr>
            <w:tcW w:w="37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4899F">
            <w:pPr>
              <w:textAlignment w:val="center"/>
              <w:rPr>
                <w:rFonts w:ascii="宋体" w:hAnsi="宋体" w:eastAsia="宋体" w:cs="宋体"/>
                <w:color w:val="000000"/>
                <w:highlight w:val="yellow"/>
                <w:lang w:bidi="ar"/>
              </w:rPr>
            </w:pPr>
            <w:r>
              <w:rPr>
                <w:rFonts w:hint="eastAsia" w:ascii="宋体" w:hAnsi="宋体" w:eastAsia="宋体" w:cs="宋体"/>
                <w:color w:val="000000"/>
                <w:lang w:bidi="ar"/>
              </w:rPr>
              <w:t>按实际参与培训产生的费用报销</w:t>
            </w:r>
          </w:p>
        </w:tc>
      </w:tr>
    </w:tbl>
    <w:p w14:paraId="53C3C3C5">
      <w:pPr>
        <w:widowControl w:val="0"/>
        <w:spacing w:after="0" w:line="240" w:lineRule="auto"/>
        <w:ind w:firstLine="420" w:firstLineChars="200"/>
        <w:jc w:val="both"/>
        <w:rPr>
          <w:rFonts w:ascii="宋体" w:hAnsi="宋体" w:eastAsia="宋体" w:cs="宋体"/>
          <w:sz w:val="21"/>
          <w:szCs w:val="21"/>
          <w:lang w:bidi="ar"/>
        </w:rPr>
        <w:sectPr>
          <w:pgSz w:w="11906" w:h="16838"/>
          <w:pgMar w:top="1440" w:right="1800" w:bottom="1440" w:left="1800" w:header="851" w:footer="992" w:gutter="0"/>
          <w:pgNumType w:fmt="numberInDash" w:chapStyle="1"/>
          <w:cols w:space="720" w:num="1"/>
          <w:docGrid w:type="lines" w:linePitch="312" w:charSpace="0"/>
        </w:sectPr>
      </w:pPr>
    </w:p>
    <w:tbl>
      <w:tblPr>
        <w:tblStyle w:val="7"/>
        <w:tblW w:w="8476" w:type="dxa"/>
        <w:tblInd w:w="40" w:type="dxa"/>
        <w:tblLayout w:type="fixed"/>
        <w:tblCellMar>
          <w:top w:w="0" w:type="dxa"/>
          <w:left w:w="40" w:type="dxa"/>
          <w:bottom w:w="0" w:type="dxa"/>
          <w:right w:w="40" w:type="dxa"/>
        </w:tblCellMar>
      </w:tblPr>
      <w:tblGrid>
        <w:gridCol w:w="2340"/>
        <w:gridCol w:w="2934"/>
        <w:gridCol w:w="1241"/>
        <w:gridCol w:w="1961"/>
      </w:tblGrid>
      <w:tr w14:paraId="3B2A6E69">
        <w:tblPrEx>
          <w:tblCellMar>
            <w:top w:w="0" w:type="dxa"/>
            <w:left w:w="40" w:type="dxa"/>
            <w:bottom w:w="0" w:type="dxa"/>
            <w:right w:w="40" w:type="dxa"/>
          </w:tblCellMar>
        </w:tblPrEx>
        <w:trPr>
          <w:trHeight w:val="517" w:hRule="atLeast"/>
        </w:trPr>
        <w:tc>
          <w:tcPr>
            <w:tcW w:w="5274" w:type="dxa"/>
            <w:gridSpan w:val="2"/>
            <w:vMerge w:val="restart"/>
            <w:tcBorders>
              <w:top w:val="single" w:color="auto" w:sz="6" w:space="0"/>
              <w:left w:val="single" w:color="auto" w:sz="6" w:space="0"/>
              <w:right w:val="single" w:color="auto" w:sz="6" w:space="0"/>
            </w:tcBorders>
            <w:vAlign w:val="center"/>
          </w:tcPr>
          <w:p w14:paraId="3E994445">
            <w:pPr>
              <w:pStyle w:val="13"/>
              <w:ind w:right="900" w:firstLine="360" w:firstLineChars="150"/>
              <w:jc w:val="center"/>
              <w:rPr>
                <w:rStyle w:val="14"/>
                <w:sz w:val="24"/>
                <w:szCs w:val="24"/>
                <w:lang w:val="zh-CN"/>
              </w:rPr>
            </w:pPr>
            <w:r>
              <w:rPr>
                <w:rStyle w:val="14"/>
                <w:rFonts w:hint="eastAsia"/>
                <w:sz w:val="24"/>
                <w:szCs w:val="24"/>
                <w:lang w:val="zh-CN"/>
              </w:rPr>
              <w:t>邵逸夫医院医学伦理委员会</w:t>
            </w:r>
            <w:r>
              <w:rPr>
                <w:rStyle w:val="14"/>
                <w:rFonts w:hint="eastAsia"/>
                <w:sz w:val="24"/>
                <w:szCs w:val="24"/>
              </w:rPr>
              <w:t>-</w:t>
            </w:r>
            <w:r>
              <w:rPr>
                <w:rStyle w:val="14"/>
                <w:rFonts w:hint="eastAsia"/>
                <w:sz w:val="24"/>
                <w:szCs w:val="24"/>
                <w:lang w:val="zh-CN"/>
              </w:rPr>
              <w:t>制度</w:t>
            </w:r>
          </w:p>
        </w:tc>
        <w:tc>
          <w:tcPr>
            <w:tcW w:w="1241" w:type="dxa"/>
            <w:tcBorders>
              <w:top w:val="single" w:color="auto" w:sz="6" w:space="0"/>
              <w:left w:val="single" w:color="auto" w:sz="6" w:space="0"/>
              <w:bottom w:val="nil"/>
              <w:right w:val="single" w:color="auto" w:sz="6" w:space="0"/>
            </w:tcBorders>
            <w:vAlign w:val="center"/>
          </w:tcPr>
          <w:p w14:paraId="18DCF04C">
            <w:pPr>
              <w:pStyle w:val="13"/>
              <w:jc w:val="center"/>
              <w:rPr>
                <w:rStyle w:val="14"/>
                <w:sz w:val="20"/>
                <w:szCs w:val="20"/>
                <w:lang w:val="zh-CN"/>
              </w:rPr>
            </w:pPr>
            <w:r>
              <w:rPr>
                <w:rStyle w:val="14"/>
                <w:rFonts w:hint="eastAsia"/>
                <w:sz w:val="20"/>
                <w:szCs w:val="20"/>
                <w:lang w:val="zh-CN"/>
              </w:rPr>
              <w:t>文件编号</w:t>
            </w:r>
          </w:p>
        </w:tc>
        <w:tc>
          <w:tcPr>
            <w:tcW w:w="1961" w:type="dxa"/>
            <w:tcBorders>
              <w:top w:val="single" w:color="auto" w:sz="6" w:space="0"/>
              <w:left w:val="single" w:color="auto" w:sz="6" w:space="0"/>
              <w:right w:val="single" w:color="auto" w:sz="6" w:space="0"/>
            </w:tcBorders>
            <w:vAlign w:val="center"/>
          </w:tcPr>
          <w:p w14:paraId="6EFB564B">
            <w:pPr>
              <w:pStyle w:val="15"/>
              <w:jc w:val="center"/>
              <w:rPr>
                <w:sz w:val="20"/>
                <w:szCs w:val="20"/>
              </w:rPr>
            </w:pPr>
            <w:r>
              <w:rPr>
                <w:rFonts w:hint="eastAsia"/>
                <w:sz w:val="20"/>
                <w:szCs w:val="20"/>
              </w:rPr>
              <w:t>IRB-ZN-01/</w:t>
            </w:r>
            <w:r>
              <w:rPr>
                <w:sz w:val="20"/>
                <w:szCs w:val="20"/>
              </w:rPr>
              <w:t>6</w:t>
            </w:r>
            <w:r>
              <w:rPr>
                <w:rFonts w:hint="eastAsia"/>
                <w:sz w:val="20"/>
                <w:szCs w:val="20"/>
              </w:rPr>
              <w:t>.0</w:t>
            </w:r>
          </w:p>
        </w:tc>
      </w:tr>
      <w:tr w14:paraId="77884A94">
        <w:tblPrEx>
          <w:tblCellMar>
            <w:top w:w="0" w:type="dxa"/>
            <w:left w:w="40" w:type="dxa"/>
            <w:bottom w:w="0" w:type="dxa"/>
            <w:right w:w="40" w:type="dxa"/>
          </w:tblCellMar>
        </w:tblPrEx>
        <w:trPr>
          <w:trHeight w:val="291" w:hRule="atLeast"/>
        </w:trPr>
        <w:tc>
          <w:tcPr>
            <w:tcW w:w="5274" w:type="dxa"/>
            <w:gridSpan w:val="2"/>
            <w:vMerge w:val="continue"/>
            <w:tcBorders>
              <w:left w:val="single" w:color="auto" w:sz="6" w:space="0"/>
              <w:bottom w:val="single" w:color="auto" w:sz="6" w:space="0"/>
              <w:right w:val="single" w:color="auto" w:sz="6" w:space="0"/>
            </w:tcBorders>
            <w:vAlign w:val="center"/>
          </w:tcPr>
          <w:p w14:paraId="65DA9306">
            <w:pPr>
              <w:pStyle w:val="16"/>
              <w:jc w:val="center"/>
              <w:rPr>
                <w:sz w:val="20"/>
                <w:szCs w:val="20"/>
              </w:rPr>
            </w:pPr>
          </w:p>
        </w:tc>
        <w:tc>
          <w:tcPr>
            <w:tcW w:w="1241" w:type="dxa"/>
            <w:tcBorders>
              <w:top w:val="single" w:color="auto" w:sz="6" w:space="0"/>
              <w:left w:val="single" w:color="auto" w:sz="6" w:space="0"/>
              <w:bottom w:val="single" w:color="auto" w:sz="6" w:space="0"/>
              <w:right w:val="single" w:color="auto" w:sz="6" w:space="0"/>
            </w:tcBorders>
            <w:vAlign w:val="center"/>
          </w:tcPr>
          <w:p w14:paraId="0D474811">
            <w:pPr>
              <w:pStyle w:val="13"/>
              <w:jc w:val="center"/>
              <w:rPr>
                <w:rStyle w:val="14"/>
                <w:sz w:val="20"/>
                <w:szCs w:val="20"/>
                <w:lang w:val="zh-CN"/>
              </w:rPr>
            </w:pPr>
            <w:r>
              <w:rPr>
                <w:rStyle w:val="14"/>
                <w:rFonts w:hint="eastAsia"/>
                <w:sz w:val="20"/>
                <w:szCs w:val="20"/>
                <w:lang w:val="zh-CN"/>
              </w:rPr>
              <w:t>版本号</w:t>
            </w:r>
          </w:p>
        </w:tc>
        <w:tc>
          <w:tcPr>
            <w:tcW w:w="1961" w:type="dxa"/>
            <w:tcBorders>
              <w:top w:val="single" w:color="auto" w:sz="6" w:space="0"/>
              <w:left w:val="single" w:color="auto" w:sz="6" w:space="0"/>
              <w:bottom w:val="single" w:color="auto" w:sz="6" w:space="0"/>
              <w:right w:val="single" w:color="auto" w:sz="6" w:space="0"/>
            </w:tcBorders>
            <w:vAlign w:val="center"/>
          </w:tcPr>
          <w:p w14:paraId="02A46376">
            <w:pPr>
              <w:pStyle w:val="15"/>
              <w:jc w:val="center"/>
              <w:rPr>
                <w:sz w:val="20"/>
                <w:szCs w:val="20"/>
              </w:rPr>
            </w:pPr>
            <w:r>
              <w:rPr>
                <w:sz w:val="20"/>
                <w:szCs w:val="20"/>
              </w:rPr>
              <w:t>6</w:t>
            </w:r>
            <w:r>
              <w:rPr>
                <w:rFonts w:hint="eastAsia"/>
                <w:sz w:val="20"/>
                <w:szCs w:val="20"/>
              </w:rPr>
              <w:t>.0</w:t>
            </w:r>
          </w:p>
        </w:tc>
      </w:tr>
      <w:tr w14:paraId="77D5FD3A">
        <w:tblPrEx>
          <w:tblCellMar>
            <w:top w:w="0" w:type="dxa"/>
            <w:left w:w="40" w:type="dxa"/>
            <w:bottom w:w="0" w:type="dxa"/>
            <w:right w:w="40" w:type="dxa"/>
          </w:tblCellMar>
        </w:tblPrEx>
        <w:trPr>
          <w:trHeight w:val="597" w:hRule="atLeast"/>
        </w:trPr>
        <w:tc>
          <w:tcPr>
            <w:tcW w:w="2340" w:type="dxa"/>
            <w:tcBorders>
              <w:top w:val="single" w:color="auto" w:sz="6" w:space="0"/>
              <w:left w:val="single" w:color="auto" w:sz="6" w:space="0"/>
              <w:bottom w:val="single" w:color="auto" w:sz="6" w:space="0"/>
              <w:right w:val="single" w:color="auto" w:sz="6" w:space="0"/>
            </w:tcBorders>
            <w:vAlign w:val="center"/>
          </w:tcPr>
          <w:p w14:paraId="42A2101F">
            <w:pPr>
              <w:pStyle w:val="13"/>
              <w:ind w:right="437" w:firstLine="700" w:firstLineChars="350"/>
              <w:jc w:val="center"/>
              <w:rPr>
                <w:rStyle w:val="14"/>
                <w:sz w:val="20"/>
                <w:szCs w:val="20"/>
                <w:lang w:val="zh-CN"/>
              </w:rPr>
            </w:pPr>
            <w:r>
              <w:rPr>
                <w:rStyle w:val="14"/>
                <w:rFonts w:hint="eastAsia"/>
                <w:sz w:val="20"/>
                <w:szCs w:val="20"/>
                <w:lang w:val="zh-CN"/>
              </w:rPr>
              <w:t>编写者</w:t>
            </w:r>
          </w:p>
        </w:tc>
        <w:tc>
          <w:tcPr>
            <w:tcW w:w="2934" w:type="dxa"/>
            <w:tcBorders>
              <w:top w:val="single" w:color="auto" w:sz="6" w:space="0"/>
              <w:left w:val="single" w:color="auto" w:sz="6" w:space="0"/>
              <w:bottom w:val="single" w:color="auto" w:sz="6" w:space="0"/>
              <w:right w:val="single" w:color="auto" w:sz="6" w:space="0"/>
            </w:tcBorders>
            <w:vAlign w:val="center"/>
          </w:tcPr>
          <w:p w14:paraId="5E514582">
            <w:pPr>
              <w:pStyle w:val="16"/>
              <w:ind w:firstLine="1200" w:firstLineChars="600"/>
              <w:jc w:val="both"/>
              <w:rPr>
                <w:sz w:val="20"/>
                <w:szCs w:val="20"/>
              </w:rPr>
            </w:pPr>
            <w:r>
              <w:rPr>
                <w:rFonts w:hint="eastAsia"/>
                <w:sz w:val="20"/>
                <w:szCs w:val="20"/>
              </w:rPr>
              <w:t>许鸣、杨漾池</w:t>
            </w:r>
          </w:p>
        </w:tc>
        <w:tc>
          <w:tcPr>
            <w:tcW w:w="1241" w:type="dxa"/>
            <w:tcBorders>
              <w:top w:val="single" w:color="auto" w:sz="6" w:space="0"/>
              <w:left w:val="single" w:color="auto" w:sz="6" w:space="0"/>
              <w:bottom w:val="single" w:color="auto" w:sz="6" w:space="0"/>
              <w:right w:val="single" w:color="auto" w:sz="6" w:space="0"/>
            </w:tcBorders>
            <w:vAlign w:val="center"/>
          </w:tcPr>
          <w:p w14:paraId="6EE47AAB">
            <w:pPr>
              <w:pStyle w:val="13"/>
              <w:jc w:val="center"/>
              <w:rPr>
                <w:rStyle w:val="14"/>
                <w:sz w:val="20"/>
                <w:szCs w:val="20"/>
                <w:lang w:val="zh-CN"/>
              </w:rPr>
            </w:pPr>
            <w:r>
              <w:rPr>
                <w:rFonts w:hint="eastAsia"/>
                <w:sz w:val="20"/>
                <w:szCs w:val="20"/>
                <w:lang w:val="zh-CN"/>
              </w:rPr>
              <w:t>版本日期</w:t>
            </w:r>
          </w:p>
        </w:tc>
        <w:tc>
          <w:tcPr>
            <w:tcW w:w="1961" w:type="dxa"/>
            <w:tcBorders>
              <w:top w:val="single" w:color="auto" w:sz="6" w:space="0"/>
              <w:left w:val="single" w:color="auto" w:sz="6" w:space="0"/>
              <w:bottom w:val="single" w:color="auto" w:sz="6" w:space="0"/>
              <w:right w:val="single" w:color="auto" w:sz="6" w:space="0"/>
            </w:tcBorders>
            <w:vAlign w:val="center"/>
          </w:tcPr>
          <w:p w14:paraId="4E42E848">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8</w:t>
            </w:r>
            <w:r>
              <w:rPr>
                <w:rFonts w:hint="eastAsia"/>
                <w:sz w:val="20"/>
                <w:szCs w:val="20"/>
              </w:rPr>
              <w:t>-</w:t>
            </w:r>
            <w:r>
              <w:rPr>
                <w:sz w:val="20"/>
                <w:szCs w:val="20"/>
              </w:rPr>
              <w:t>15</w:t>
            </w:r>
          </w:p>
        </w:tc>
      </w:tr>
      <w:tr w14:paraId="19EE904E">
        <w:tblPrEx>
          <w:tblCellMar>
            <w:top w:w="0" w:type="dxa"/>
            <w:left w:w="40" w:type="dxa"/>
            <w:bottom w:w="0" w:type="dxa"/>
            <w:right w:w="40" w:type="dxa"/>
          </w:tblCellMar>
        </w:tblPrEx>
        <w:trPr>
          <w:trHeight w:val="604" w:hRule="atLeast"/>
        </w:trPr>
        <w:tc>
          <w:tcPr>
            <w:tcW w:w="2340" w:type="dxa"/>
            <w:tcBorders>
              <w:top w:val="single" w:color="auto" w:sz="6" w:space="0"/>
              <w:left w:val="single" w:color="auto" w:sz="6" w:space="0"/>
              <w:bottom w:val="single" w:color="auto" w:sz="6" w:space="0"/>
              <w:right w:val="single" w:color="auto" w:sz="6" w:space="0"/>
            </w:tcBorders>
            <w:vAlign w:val="center"/>
          </w:tcPr>
          <w:p w14:paraId="67608990">
            <w:pPr>
              <w:pStyle w:val="13"/>
              <w:ind w:right="435" w:firstLine="700" w:firstLineChars="350"/>
              <w:jc w:val="center"/>
              <w:rPr>
                <w:rStyle w:val="14"/>
                <w:sz w:val="20"/>
                <w:szCs w:val="20"/>
                <w:lang w:val="zh-CN"/>
              </w:rPr>
            </w:pPr>
            <w:r>
              <w:rPr>
                <w:rStyle w:val="14"/>
                <w:rFonts w:hint="eastAsia"/>
                <w:sz w:val="20"/>
                <w:szCs w:val="20"/>
                <w:lang w:val="zh-CN"/>
              </w:rPr>
              <w:t>审核者</w:t>
            </w:r>
          </w:p>
        </w:tc>
        <w:tc>
          <w:tcPr>
            <w:tcW w:w="2934" w:type="dxa"/>
            <w:tcBorders>
              <w:top w:val="single" w:color="auto" w:sz="6" w:space="0"/>
              <w:left w:val="single" w:color="auto" w:sz="6" w:space="0"/>
              <w:bottom w:val="single" w:color="auto" w:sz="6" w:space="0"/>
              <w:right w:val="single" w:color="auto" w:sz="6" w:space="0"/>
            </w:tcBorders>
            <w:vAlign w:val="center"/>
          </w:tcPr>
          <w:p w14:paraId="7D8A3DF0">
            <w:pPr>
              <w:pStyle w:val="16"/>
              <w:jc w:val="center"/>
              <w:rPr>
                <w:sz w:val="20"/>
                <w:szCs w:val="20"/>
              </w:rPr>
            </w:pPr>
            <w:r>
              <w:rPr>
                <w:rFonts w:hint="eastAsia"/>
                <w:sz w:val="20"/>
                <w:szCs w:val="20"/>
              </w:rPr>
              <w:t>王青青</w:t>
            </w:r>
          </w:p>
        </w:tc>
        <w:tc>
          <w:tcPr>
            <w:tcW w:w="1241" w:type="dxa"/>
            <w:tcBorders>
              <w:top w:val="single" w:color="auto" w:sz="6" w:space="0"/>
              <w:left w:val="single" w:color="auto" w:sz="6" w:space="0"/>
              <w:bottom w:val="single" w:color="auto" w:sz="6" w:space="0"/>
              <w:right w:val="single" w:color="auto" w:sz="6" w:space="0"/>
            </w:tcBorders>
            <w:vAlign w:val="center"/>
          </w:tcPr>
          <w:p w14:paraId="3B771E38">
            <w:pPr>
              <w:pStyle w:val="13"/>
              <w:jc w:val="center"/>
              <w:rPr>
                <w:rStyle w:val="14"/>
                <w:sz w:val="20"/>
                <w:szCs w:val="20"/>
                <w:lang w:val="zh-CN"/>
              </w:rPr>
            </w:pPr>
            <w:r>
              <w:rPr>
                <w:rFonts w:hint="eastAsia"/>
                <w:sz w:val="20"/>
                <w:szCs w:val="20"/>
                <w:lang w:val="zh-CN"/>
              </w:rPr>
              <w:t>批准日期</w:t>
            </w:r>
          </w:p>
        </w:tc>
        <w:tc>
          <w:tcPr>
            <w:tcW w:w="1961" w:type="dxa"/>
            <w:tcBorders>
              <w:top w:val="single" w:color="auto" w:sz="6" w:space="0"/>
              <w:left w:val="single" w:color="auto" w:sz="6" w:space="0"/>
              <w:bottom w:val="single" w:color="auto" w:sz="6" w:space="0"/>
              <w:right w:val="single" w:color="auto" w:sz="6" w:space="0"/>
            </w:tcBorders>
            <w:vAlign w:val="center"/>
          </w:tcPr>
          <w:p w14:paraId="63CF11E6">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w:t>
            </w:r>
            <w:r>
              <w:rPr>
                <w:sz w:val="20"/>
                <w:szCs w:val="20"/>
              </w:rPr>
              <w:t>08</w:t>
            </w:r>
            <w:r>
              <w:rPr>
                <w:rFonts w:hint="eastAsia"/>
                <w:sz w:val="20"/>
                <w:szCs w:val="20"/>
              </w:rPr>
              <w:t>-</w:t>
            </w:r>
            <w:r>
              <w:rPr>
                <w:sz w:val="20"/>
                <w:szCs w:val="20"/>
              </w:rPr>
              <w:t>20</w:t>
            </w:r>
          </w:p>
        </w:tc>
      </w:tr>
      <w:tr w14:paraId="291A7B05">
        <w:tblPrEx>
          <w:tblCellMar>
            <w:top w:w="0" w:type="dxa"/>
            <w:left w:w="40" w:type="dxa"/>
            <w:bottom w:w="0" w:type="dxa"/>
            <w:right w:w="40" w:type="dxa"/>
          </w:tblCellMar>
        </w:tblPrEx>
        <w:trPr>
          <w:trHeight w:val="612" w:hRule="atLeast"/>
        </w:trPr>
        <w:tc>
          <w:tcPr>
            <w:tcW w:w="2340" w:type="dxa"/>
            <w:tcBorders>
              <w:top w:val="single" w:color="auto" w:sz="6" w:space="0"/>
              <w:left w:val="single" w:color="auto" w:sz="6" w:space="0"/>
              <w:bottom w:val="single" w:color="auto" w:sz="6" w:space="0"/>
              <w:right w:val="single" w:color="auto" w:sz="6" w:space="0"/>
            </w:tcBorders>
            <w:vAlign w:val="center"/>
          </w:tcPr>
          <w:p w14:paraId="7022BB74">
            <w:pPr>
              <w:pStyle w:val="13"/>
              <w:ind w:right="435" w:firstLine="700" w:firstLineChars="350"/>
              <w:jc w:val="center"/>
              <w:rPr>
                <w:rStyle w:val="14"/>
                <w:sz w:val="20"/>
                <w:szCs w:val="20"/>
                <w:lang w:val="zh-CN"/>
              </w:rPr>
            </w:pPr>
            <w:r>
              <w:rPr>
                <w:rStyle w:val="14"/>
                <w:rFonts w:hint="eastAsia"/>
                <w:sz w:val="20"/>
                <w:szCs w:val="20"/>
                <w:lang w:val="zh-CN"/>
              </w:rPr>
              <w:t>批准者</w:t>
            </w:r>
          </w:p>
        </w:tc>
        <w:tc>
          <w:tcPr>
            <w:tcW w:w="2934" w:type="dxa"/>
            <w:tcBorders>
              <w:top w:val="single" w:color="auto" w:sz="6" w:space="0"/>
              <w:left w:val="single" w:color="auto" w:sz="6" w:space="0"/>
              <w:bottom w:val="single" w:color="auto" w:sz="6" w:space="0"/>
              <w:right w:val="single" w:color="auto" w:sz="6" w:space="0"/>
            </w:tcBorders>
            <w:vAlign w:val="center"/>
          </w:tcPr>
          <w:p w14:paraId="7F7E370A">
            <w:pPr>
              <w:pStyle w:val="16"/>
              <w:jc w:val="center"/>
              <w:rPr>
                <w:sz w:val="20"/>
                <w:szCs w:val="20"/>
              </w:rPr>
            </w:pPr>
            <w:r>
              <w:rPr>
                <w:rFonts w:hint="eastAsia"/>
                <w:sz w:val="20"/>
                <w:szCs w:val="20"/>
              </w:rPr>
              <w:t>刘利民</w:t>
            </w:r>
          </w:p>
        </w:tc>
        <w:tc>
          <w:tcPr>
            <w:tcW w:w="1241" w:type="dxa"/>
            <w:tcBorders>
              <w:top w:val="single" w:color="auto" w:sz="6" w:space="0"/>
              <w:left w:val="single" w:color="auto" w:sz="6" w:space="0"/>
              <w:bottom w:val="single" w:color="auto" w:sz="6" w:space="0"/>
              <w:right w:val="single" w:color="auto" w:sz="6" w:space="0"/>
            </w:tcBorders>
            <w:vAlign w:val="center"/>
          </w:tcPr>
          <w:p w14:paraId="28127C09">
            <w:pPr>
              <w:pStyle w:val="13"/>
              <w:jc w:val="center"/>
              <w:rPr>
                <w:rStyle w:val="14"/>
                <w:sz w:val="20"/>
                <w:szCs w:val="20"/>
                <w:lang w:val="zh-CN"/>
              </w:rPr>
            </w:pPr>
            <w:r>
              <w:rPr>
                <w:rFonts w:hint="eastAsia"/>
                <w:sz w:val="20"/>
                <w:szCs w:val="20"/>
                <w:lang w:val="zh-CN"/>
              </w:rPr>
              <w:t>生效日期</w:t>
            </w:r>
          </w:p>
        </w:tc>
        <w:tc>
          <w:tcPr>
            <w:tcW w:w="1961" w:type="dxa"/>
            <w:tcBorders>
              <w:top w:val="single" w:color="auto" w:sz="6" w:space="0"/>
              <w:left w:val="single" w:color="auto" w:sz="6" w:space="0"/>
              <w:bottom w:val="single" w:color="auto" w:sz="6" w:space="0"/>
              <w:right w:val="single" w:color="auto" w:sz="6" w:space="0"/>
            </w:tcBorders>
            <w:vAlign w:val="center"/>
          </w:tcPr>
          <w:p w14:paraId="682D336B">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9</w:t>
            </w:r>
            <w:r>
              <w:rPr>
                <w:rFonts w:hint="eastAsia"/>
                <w:sz w:val="20"/>
                <w:szCs w:val="20"/>
              </w:rPr>
              <w:t>-</w:t>
            </w:r>
            <w:r>
              <w:rPr>
                <w:sz w:val="20"/>
                <w:szCs w:val="20"/>
              </w:rPr>
              <w:t>01</w:t>
            </w:r>
          </w:p>
        </w:tc>
      </w:tr>
    </w:tbl>
    <w:p w14:paraId="77EE3EE9"/>
    <w:p w14:paraId="09F07785">
      <w:pPr>
        <w:pStyle w:val="2"/>
        <w:rPr>
          <w:rStyle w:val="29"/>
          <w:rFonts w:ascii="宋体" w:hAnsi="宋体" w:eastAsia="宋体" w:cs="宋体"/>
          <w:b w:val="0"/>
          <w:bCs w:val="0"/>
          <w:kern w:val="0"/>
          <w:szCs w:val="28"/>
          <w:lang w:val="zh-CN"/>
        </w:rPr>
      </w:pPr>
      <w:bookmarkStart w:id="20" w:name="_Toc31733"/>
      <w:bookmarkStart w:id="21" w:name="_Toc11441"/>
      <w:bookmarkStart w:id="22" w:name="_Toc25058"/>
      <w:bookmarkStart w:id="23" w:name="_Toc12173"/>
      <w:bookmarkStart w:id="24" w:name="_Toc12451"/>
      <w:r>
        <w:rPr>
          <w:rFonts w:hint="eastAsia"/>
          <w:lang w:val="zh-CN"/>
        </w:rPr>
        <w:t>伦理审查申请/报告指南</w:t>
      </w:r>
      <w:bookmarkEnd w:id="20"/>
      <w:bookmarkEnd w:id="21"/>
      <w:bookmarkEnd w:id="22"/>
      <w:bookmarkEnd w:id="23"/>
      <w:bookmarkEnd w:id="24"/>
    </w:p>
    <w:p w14:paraId="6925DAFE">
      <w:pPr>
        <w:pStyle w:val="12"/>
        <w:widowControl/>
        <w:spacing w:line="240" w:lineRule="exact"/>
        <w:ind w:right="14"/>
        <w:jc w:val="left"/>
        <w:rPr>
          <w:rFonts w:hAnsi="宋体"/>
          <w:sz w:val="21"/>
          <w:szCs w:val="21"/>
        </w:rPr>
      </w:pPr>
    </w:p>
    <w:p w14:paraId="6C4F2C85">
      <w:pPr>
        <w:pStyle w:val="12"/>
        <w:widowControl/>
        <w:spacing w:before="84" w:line="240" w:lineRule="auto"/>
        <w:ind w:firstLine="420" w:firstLineChars="200"/>
        <w:jc w:val="left"/>
        <w:rPr>
          <w:rStyle w:val="30"/>
          <w:rFonts w:ascii="宋体" w:hAnsi="宋体" w:eastAsia="宋体" w:cs="宋体"/>
          <w:sz w:val="21"/>
          <w:szCs w:val="21"/>
          <w:lang w:val="zh-CN"/>
        </w:rPr>
      </w:pPr>
      <w:r>
        <w:rPr>
          <w:rStyle w:val="30"/>
          <w:rFonts w:hint="eastAsia" w:ascii="宋体" w:hAnsi="宋体" w:eastAsia="宋体" w:cs="宋体"/>
          <w:sz w:val="21"/>
          <w:szCs w:val="21"/>
          <w:lang w:val="zh-CN"/>
        </w:rPr>
        <w:t>为指导主要研究者</w:t>
      </w:r>
      <w:r>
        <w:rPr>
          <w:rStyle w:val="31"/>
          <w:rFonts w:hint="eastAsia" w:ascii="宋体" w:hAnsi="宋体" w:eastAsia="宋体" w:cs="宋体"/>
          <w:sz w:val="21"/>
          <w:szCs w:val="21"/>
        </w:rPr>
        <w:t>/</w:t>
      </w:r>
      <w:r>
        <w:rPr>
          <w:rStyle w:val="30"/>
          <w:rFonts w:hint="eastAsia" w:ascii="宋体" w:hAnsi="宋体" w:eastAsia="宋体" w:cs="宋体"/>
          <w:sz w:val="21"/>
          <w:szCs w:val="21"/>
          <w:lang w:val="zh-CN"/>
        </w:rPr>
        <w:t>申办者提交药物</w:t>
      </w:r>
      <w:r>
        <w:rPr>
          <w:rStyle w:val="31"/>
          <w:rFonts w:hint="eastAsia" w:ascii="宋体" w:hAnsi="宋体" w:eastAsia="宋体" w:cs="宋体"/>
          <w:sz w:val="21"/>
          <w:szCs w:val="21"/>
          <w:lang w:val="zh-CN"/>
        </w:rPr>
        <w:t>/</w:t>
      </w:r>
      <w:r>
        <w:rPr>
          <w:rStyle w:val="30"/>
          <w:rFonts w:hint="eastAsia" w:ascii="宋体" w:hAnsi="宋体" w:eastAsia="宋体" w:cs="宋体"/>
          <w:sz w:val="21"/>
          <w:szCs w:val="21"/>
          <w:lang w:val="zh-CN"/>
        </w:rPr>
        <w:t>医疗器械临床试验项目、临床科研</w:t>
      </w:r>
      <w:r>
        <w:rPr>
          <w:rStyle w:val="30"/>
          <w:rFonts w:hint="eastAsia" w:hAnsi="宋体" w:cs="宋体"/>
          <w:sz w:val="21"/>
          <w:szCs w:val="21"/>
          <w:lang w:val="zh-CN"/>
        </w:rPr>
        <w:t>、</w:t>
      </w:r>
      <w:r>
        <w:rPr>
          <w:rStyle w:val="30"/>
          <w:rFonts w:hint="eastAsia" w:ascii="宋体" w:hAnsi="宋体" w:eastAsia="宋体" w:cs="宋体"/>
          <w:sz w:val="21"/>
          <w:szCs w:val="21"/>
          <w:lang w:val="zh-CN"/>
        </w:rPr>
        <w:t>新技术新项目的伦理审查申请</w:t>
      </w:r>
      <w:r>
        <w:rPr>
          <w:rStyle w:val="31"/>
          <w:rFonts w:hint="eastAsia" w:ascii="宋体" w:hAnsi="宋体" w:eastAsia="宋体" w:cs="宋体"/>
          <w:sz w:val="21"/>
          <w:szCs w:val="21"/>
          <w:lang w:val="zh-CN"/>
        </w:rPr>
        <w:t>/</w:t>
      </w:r>
      <w:r>
        <w:rPr>
          <w:rStyle w:val="30"/>
          <w:rFonts w:hint="eastAsia" w:ascii="宋体" w:hAnsi="宋体" w:eastAsia="宋体" w:cs="宋体"/>
          <w:sz w:val="21"/>
          <w:szCs w:val="21"/>
          <w:lang w:val="zh-CN"/>
        </w:rPr>
        <w:t>报告，特制定本指南。</w:t>
      </w:r>
    </w:p>
    <w:p w14:paraId="346BD9E3">
      <w:pPr>
        <w:pStyle w:val="32"/>
        <w:tabs>
          <w:tab w:val="left" w:pos="821"/>
        </w:tabs>
        <w:spacing w:before="349" w:line="240" w:lineRule="auto"/>
        <w:ind w:left="440" w:leftChars="200" w:firstLine="0"/>
        <w:rPr>
          <w:rStyle w:val="24"/>
          <w:rFonts w:hAnsi="宋体"/>
          <w:sz w:val="21"/>
          <w:szCs w:val="21"/>
          <w:lang w:val="zh-CN"/>
        </w:rPr>
      </w:pPr>
      <w:r>
        <w:rPr>
          <w:rStyle w:val="22"/>
          <w:rFonts w:hint="eastAsia" w:hAnsi="宋体"/>
          <w:b w:val="0"/>
          <w:bCs w:val="0"/>
          <w:sz w:val="21"/>
          <w:szCs w:val="21"/>
          <w:lang w:val="zh-CN"/>
        </w:rPr>
        <w:t>一、提交伦理审查的研究项目范围</w:t>
      </w:r>
    </w:p>
    <w:p w14:paraId="28929EC6">
      <w:pPr>
        <w:pStyle w:val="23"/>
        <w:widowControl/>
        <w:adjustRightInd/>
        <w:spacing w:before="108" w:line="240" w:lineRule="auto"/>
        <w:ind w:right="22"/>
        <w:rPr>
          <w:rStyle w:val="30"/>
          <w:rFonts w:ascii="宋体" w:hAnsi="宋体" w:eastAsia="宋体" w:cs="宋体"/>
          <w:sz w:val="21"/>
          <w:szCs w:val="21"/>
          <w:lang w:val="zh-CN"/>
        </w:rPr>
      </w:pPr>
      <w:r>
        <w:rPr>
          <w:rStyle w:val="11"/>
          <w:rFonts w:hint="eastAsia" w:asciiTheme="minorEastAsia" w:hAnsiTheme="minorEastAsia" w:eastAsiaTheme="minorEastAsia" w:cstheme="minorEastAsia"/>
          <w:bCs/>
          <w:sz w:val="21"/>
          <w:szCs w:val="21"/>
        </w:rPr>
        <w:t xml:space="preserve">    </w:t>
      </w:r>
      <w:r>
        <w:rPr>
          <w:rStyle w:val="11"/>
          <w:rFonts w:hint="eastAsia" w:asciiTheme="minorEastAsia" w:hAnsiTheme="minorEastAsia" w:eastAsiaTheme="minorEastAsia" w:cstheme="minorEastAsia"/>
          <w:bCs/>
          <w:sz w:val="21"/>
          <w:szCs w:val="21"/>
          <w:lang w:val="zh-CN"/>
        </w:rPr>
        <w:t>根据《涉及人的生物医学研究伦理审查办法》</w:t>
      </w:r>
      <w:r>
        <w:rPr>
          <w:rStyle w:val="11"/>
          <w:rFonts w:hint="eastAsia" w:asciiTheme="minorEastAsia" w:hAnsiTheme="minorEastAsia" w:eastAsiaTheme="minorEastAsia" w:cstheme="minorEastAsia"/>
          <w:bCs/>
          <w:spacing w:val="-20"/>
          <w:sz w:val="21"/>
          <w:szCs w:val="21"/>
          <w:lang w:val="zh-CN"/>
        </w:rPr>
        <w:t>（</w:t>
      </w:r>
      <w:r>
        <w:rPr>
          <w:rStyle w:val="22"/>
          <w:rFonts w:hint="eastAsia" w:asciiTheme="minorEastAsia" w:hAnsiTheme="minorEastAsia" w:eastAsiaTheme="minorEastAsia" w:cstheme="minorEastAsia"/>
          <w:b w:val="0"/>
          <w:sz w:val="21"/>
          <w:szCs w:val="21"/>
        </w:rPr>
        <w:t>2016</w:t>
      </w:r>
      <w:r>
        <w:rPr>
          <w:rStyle w:val="11"/>
          <w:rFonts w:hint="eastAsia" w:asciiTheme="minorEastAsia" w:hAnsiTheme="minorEastAsia" w:eastAsiaTheme="minorEastAsia" w:cstheme="minorEastAsia"/>
          <w:bCs/>
          <w:spacing w:val="-20"/>
          <w:sz w:val="21"/>
          <w:szCs w:val="21"/>
          <w:lang w:val="zh-CN"/>
        </w:rPr>
        <w:t>）</w:t>
      </w:r>
      <w:r>
        <w:rPr>
          <w:rStyle w:val="11"/>
          <w:rFonts w:hint="eastAsia" w:asciiTheme="minorEastAsia" w:hAnsiTheme="minorEastAsia" w:eastAsiaTheme="minorEastAsia" w:cstheme="minorEastAsia"/>
          <w:bCs/>
          <w:spacing w:val="-20"/>
          <w:sz w:val="21"/>
          <w:szCs w:val="21"/>
        </w:rPr>
        <w:t>，</w:t>
      </w:r>
      <w:r>
        <w:rPr>
          <w:rStyle w:val="11"/>
          <w:rFonts w:hint="eastAsia" w:asciiTheme="minorEastAsia" w:hAnsiTheme="minorEastAsia" w:eastAsiaTheme="minorEastAsia" w:cstheme="minorEastAsia"/>
          <w:bCs/>
          <w:color w:val="333333"/>
          <w:spacing w:val="-20"/>
          <w:sz w:val="21"/>
          <w:szCs w:val="21"/>
          <w:shd w:val="clear" w:color="auto" w:fill="FFFFFF"/>
        </w:rPr>
        <w:t>《涉及人的生命科学和医学研究伦理审查办法</w:t>
      </w:r>
      <w:r>
        <w:rPr>
          <w:rStyle w:val="11"/>
          <w:rFonts w:hint="eastAsia" w:asciiTheme="minorEastAsia" w:hAnsiTheme="minorEastAsia" w:eastAsiaTheme="minorEastAsia" w:cstheme="minorEastAsia"/>
          <w:bCs/>
          <w:spacing w:val="-20"/>
          <w:sz w:val="21"/>
          <w:szCs w:val="21"/>
        </w:rPr>
        <w:t>》（2023），《医疗卫生机构开展研究者发起的临床研究管理办法》（2024），《科技伦理审查办法（试行）》（2023），</w:t>
      </w:r>
      <w:r>
        <w:rPr>
          <w:rStyle w:val="11"/>
          <w:rFonts w:hint="eastAsia" w:asciiTheme="minorEastAsia" w:hAnsiTheme="minorEastAsia" w:eastAsiaTheme="minorEastAsia" w:cstheme="minorEastAsia"/>
          <w:bCs/>
          <w:sz w:val="21"/>
          <w:szCs w:val="21"/>
          <w:lang w:val="zh-CN"/>
        </w:rPr>
        <w:t>《药物临床试验质量管理规范》（</w:t>
      </w:r>
      <w:r>
        <w:rPr>
          <w:rStyle w:val="22"/>
          <w:rFonts w:hint="eastAsia" w:asciiTheme="minorEastAsia" w:hAnsiTheme="minorEastAsia" w:eastAsiaTheme="minorEastAsia" w:cstheme="minorEastAsia"/>
          <w:b w:val="0"/>
          <w:sz w:val="21"/>
          <w:szCs w:val="21"/>
        </w:rPr>
        <w:t>202</w:t>
      </w:r>
      <w:r>
        <w:rPr>
          <w:rStyle w:val="22"/>
          <w:rFonts w:asciiTheme="minorEastAsia" w:hAnsiTheme="minorEastAsia" w:eastAsiaTheme="minorEastAsia" w:cstheme="minorEastAsia"/>
          <w:b w:val="0"/>
          <w:sz w:val="21"/>
          <w:szCs w:val="21"/>
        </w:rPr>
        <w:t>6</w:t>
      </w:r>
      <w:r>
        <w:rPr>
          <w:rStyle w:val="11"/>
          <w:rFonts w:hint="eastAsia" w:asciiTheme="minorEastAsia" w:hAnsiTheme="minorEastAsia" w:eastAsiaTheme="minorEastAsia" w:cstheme="minorEastAsia"/>
          <w:bCs/>
          <w:sz w:val="21"/>
          <w:szCs w:val="21"/>
          <w:lang w:val="zh-CN"/>
        </w:rPr>
        <w:t>）、《药物临床试验伦理审查工作指导原则》（</w:t>
      </w:r>
      <w:r>
        <w:rPr>
          <w:rStyle w:val="22"/>
          <w:rFonts w:hint="eastAsia" w:asciiTheme="minorEastAsia" w:hAnsiTheme="minorEastAsia" w:eastAsiaTheme="minorEastAsia" w:cstheme="minorEastAsia"/>
          <w:b w:val="0"/>
          <w:sz w:val="21"/>
          <w:szCs w:val="21"/>
        </w:rPr>
        <w:t>2010</w:t>
      </w:r>
      <w:r>
        <w:rPr>
          <w:rStyle w:val="11"/>
          <w:rFonts w:hint="eastAsia" w:asciiTheme="minorEastAsia" w:hAnsiTheme="minorEastAsia" w:eastAsiaTheme="minorEastAsia" w:cstheme="minorEastAsia"/>
          <w:bCs/>
          <w:sz w:val="21"/>
          <w:szCs w:val="21"/>
          <w:lang w:val="zh-CN"/>
        </w:rPr>
        <w:t>）</w:t>
      </w:r>
      <w:r>
        <w:rPr>
          <w:rStyle w:val="11"/>
          <w:rFonts w:hint="eastAsia" w:asciiTheme="minorEastAsia" w:hAnsiTheme="minorEastAsia" w:eastAsiaTheme="minorEastAsia" w:cstheme="minorEastAsia"/>
          <w:bCs/>
          <w:sz w:val="21"/>
          <w:szCs w:val="21"/>
        </w:rPr>
        <w:t>和《器械临床试验质量管理规范》（2022）</w:t>
      </w:r>
      <w:r>
        <w:rPr>
          <w:rStyle w:val="30"/>
          <w:rFonts w:hint="eastAsia" w:ascii="宋体" w:hAnsi="宋体" w:eastAsia="宋体" w:cs="宋体"/>
          <w:spacing w:val="-20"/>
          <w:sz w:val="21"/>
          <w:szCs w:val="21"/>
          <w:lang w:val="zh-CN"/>
        </w:rPr>
        <w:t>，</w:t>
      </w:r>
      <w:r>
        <w:rPr>
          <w:rStyle w:val="30"/>
          <w:rFonts w:hint="eastAsia" w:ascii="宋体" w:hAnsi="宋体" w:eastAsia="宋体" w:cs="宋体"/>
          <w:sz w:val="21"/>
          <w:szCs w:val="21"/>
          <w:lang w:val="zh-CN"/>
        </w:rPr>
        <w:t>所有我院承担的以及在我院内实施的涉及人的生物医学研究项目，包括对可辨认身份的人体组织或数据的研究，应依据本指南向伦理委员会提交伦理审查申请报告。</w:t>
      </w:r>
    </w:p>
    <w:p w14:paraId="1BE1EC72">
      <w:pPr>
        <w:pStyle w:val="32"/>
        <w:tabs>
          <w:tab w:val="left" w:pos="821"/>
        </w:tabs>
        <w:spacing w:before="346" w:line="240" w:lineRule="auto"/>
        <w:ind w:left="440" w:leftChars="200" w:firstLine="0"/>
        <w:rPr>
          <w:rStyle w:val="29"/>
          <w:rFonts w:ascii="宋体" w:hAnsi="宋体" w:eastAsia="宋体" w:cs="宋体"/>
          <w:b w:val="0"/>
          <w:bCs w:val="0"/>
          <w:sz w:val="21"/>
          <w:szCs w:val="21"/>
          <w:lang w:val="zh-CN"/>
        </w:rPr>
      </w:pPr>
      <w:r>
        <w:rPr>
          <w:rStyle w:val="22"/>
          <w:rFonts w:hint="eastAsia" w:hAnsi="宋体"/>
          <w:b w:val="0"/>
          <w:bCs w:val="0"/>
          <w:sz w:val="21"/>
          <w:szCs w:val="21"/>
          <w:lang w:val="zh-CN"/>
        </w:rPr>
        <w:t>二、伦理审查申请</w:t>
      </w:r>
      <w:r>
        <w:rPr>
          <w:rStyle w:val="31"/>
          <w:rFonts w:hint="eastAsia" w:ascii="宋体" w:hAnsi="宋体" w:eastAsia="宋体" w:cs="宋体"/>
          <w:b w:val="0"/>
          <w:bCs w:val="0"/>
          <w:sz w:val="21"/>
          <w:szCs w:val="21"/>
          <w:lang w:val="zh-CN"/>
        </w:rPr>
        <w:t>/</w:t>
      </w:r>
      <w:r>
        <w:rPr>
          <w:rStyle w:val="22"/>
          <w:rFonts w:hint="eastAsia" w:hAnsi="宋体"/>
          <w:b w:val="0"/>
          <w:bCs w:val="0"/>
          <w:sz w:val="21"/>
          <w:szCs w:val="21"/>
          <w:lang w:val="zh-CN"/>
        </w:rPr>
        <w:t>报告的类别</w:t>
      </w:r>
    </w:p>
    <w:p w14:paraId="45389513">
      <w:pPr>
        <w:pStyle w:val="12"/>
        <w:widowControl/>
        <w:spacing w:before="4" w:line="240" w:lineRule="auto"/>
        <w:ind w:firstLine="420" w:firstLineChars="200"/>
        <w:jc w:val="left"/>
        <w:rPr>
          <w:rStyle w:val="30"/>
          <w:rFonts w:ascii="宋体" w:hAnsi="宋体" w:eastAsia="宋体" w:cs="宋体"/>
          <w:sz w:val="21"/>
          <w:szCs w:val="21"/>
          <w:lang w:val="zh-CN"/>
        </w:rPr>
      </w:pPr>
      <w:r>
        <w:rPr>
          <w:rStyle w:val="31"/>
          <w:rFonts w:hint="eastAsia" w:ascii="宋体" w:hAnsi="宋体" w:eastAsia="宋体" w:cs="宋体"/>
          <w:b w:val="0"/>
          <w:bCs w:val="0"/>
          <w:sz w:val="21"/>
          <w:szCs w:val="21"/>
          <w:lang w:val="zh-CN"/>
        </w:rPr>
        <w:t>1.</w:t>
      </w:r>
      <w:r>
        <w:rPr>
          <w:rStyle w:val="30"/>
          <w:rFonts w:hint="eastAsia" w:ascii="宋体" w:hAnsi="宋体" w:eastAsia="宋体" w:cs="宋体"/>
          <w:sz w:val="21"/>
          <w:szCs w:val="21"/>
          <w:lang w:val="zh-CN"/>
        </w:rPr>
        <w:t>初始审查</w:t>
      </w:r>
    </w:p>
    <w:p w14:paraId="26BBD491">
      <w:pPr>
        <w:pStyle w:val="12"/>
        <w:widowControl/>
        <w:spacing w:line="240" w:lineRule="auto"/>
        <w:ind w:firstLine="420" w:firstLineChars="200"/>
        <w:jc w:val="left"/>
        <w:rPr>
          <w:rStyle w:val="33"/>
          <w:rFonts w:hAnsi="宋体"/>
          <w:b w:val="0"/>
          <w:bCs w:val="0"/>
          <w:i w:val="0"/>
          <w:iCs w:val="0"/>
          <w:spacing w:val="0"/>
          <w:sz w:val="21"/>
          <w:szCs w:val="21"/>
          <w:lang w:val="zh-CN"/>
        </w:rPr>
      </w:pPr>
      <w:r>
        <w:rPr>
          <w:rStyle w:val="30"/>
          <w:rFonts w:hint="eastAsia" w:ascii="宋体" w:hAnsi="宋体" w:eastAsia="宋体" w:cs="宋体"/>
          <w:sz w:val="21"/>
          <w:szCs w:val="21"/>
          <w:lang w:val="zh-CN"/>
        </w:rPr>
        <w:t>初始审查申请：符合上述范围的研究项目，应在研究开始前提交伦理审查申请，经批准后方可实施。“初始审查申请”是指首次向伦理委员会提交的审查申请。</w:t>
      </w:r>
    </w:p>
    <w:p w14:paraId="0ED69047">
      <w:pPr>
        <w:pStyle w:val="12"/>
        <w:widowControl/>
        <w:spacing w:before="4" w:line="240" w:lineRule="auto"/>
        <w:ind w:firstLine="420" w:firstLineChars="200"/>
        <w:jc w:val="left"/>
        <w:rPr>
          <w:rStyle w:val="30"/>
          <w:rFonts w:ascii="宋体" w:hAnsi="宋体" w:eastAsia="宋体" w:cs="宋体"/>
          <w:sz w:val="21"/>
          <w:szCs w:val="21"/>
          <w:lang w:val="zh-CN"/>
        </w:rPr>
      </w:pPr>
      <w:r>
        <w:rPr>
          <w:rStyle w:val="30"/>
          <w:rFonts w:hint="eastAsia" w:ascii="宋体" w:hAnsi="宋体" w:eastAsia="宋体" w:cs="宋体"/>
          <w:sz w:val="21"/>
          <w:szCs w:val="21"/>
        </w:rPr>
        <w:t>2.</w:t>
      </w:r>
      <w:r>
        <w:rPr>
          <w:rStyle w:val="30"/>
          <w:rFonts w:hint="eastAsia" w:ascii="宋体" w:hAnsi="宋体" w:eastAsia="宋体" w:cs="宋体"/>
          <w:sz w:val="21"/>
          <w:szCs w:val="21"/>
          <w:lang w:val="zh-CN"/>
        </w:rPr>
        <w:t xml:space="preserve">跟踪审查 </w:t>
      </w:r>
    </w:p>
    <w:p w14:paraId="58699FDA">
      <w:pPr>
        <w:pStyle w:val="12"/>
        <w:widowControl/>
        <w:spacing w:before="4" w:line="240" w:lineRule="auto"/>
        <w:ind w:firstLine="420" w:firstLineChars="200"/>
        <w:jc w:val="left"/>
        <w:rPr>
          <w:rStyle w:val="30"/>
          <w:rFonts w:ascii="宋体" w:hAnsi="宋体" w:eastAsia="宋体" w:cs="宋体"/>
          <w:sz w:val="21"/>
          <w:szCs w:val="21"/>
          <w:lang w:val="zh-CN"/>
        </w:rPr>
      </w:pPr>
      <w:r>
        <w:rPr>
          <w:rStyle w:val="30"/>
          <w:rFonts w:hint="eastAsia" w:ascii="宋体" w:hAnsi="宋体" w:eastAsia="宋体" w:cs="宋体"/>
          <w:sz w:val="21"/>
          <w:szCs w:val="21"/>
          <w:lang w:val="zh-CN"/>
        </w:rPr>
        <w:t>修正案审查申请：研究过程中若变更主要研究者，对临床研究方案、知情同意书、招募材料等的任何修改，应向伦理委员会提交修正案审查申请，经批准后执行。为避免研究对试验参与者的即刻危险，研究者可在伦理委员会批准前修改研究方案，事后应将修改研究方案的情况及原因，以“修正案审查申请”的方式及时提交伦理委员会审查。</w:t>
      </w:r>
    </w:p>
    <w:p w14:paraId="6726408A">
      <w:pPr>
        <w:pStyle w:val="21"/>
        <w:widowControl/>
        <w:ind w:firstLine="420" w:firstLineChars="200"/>
        <w:rPr>
          <w:rStyle w:val="30"/>
          <w:rFonts w:ascii="宋体" w:hAnsi="宋体" w:eastAsia="宋体" w:cs="宋体"/>
          <w:sz w:val="21"/>
          <w:szCs w:val="21"/>
          <w:lang w:val="zh-CN"/>
        </w:rPr>
      </w:pPr>
      <w:r>
        <w:rPr>
          <w:rStyle w:val="30"/>
          <w:rFonts w:hint="eastAsia" w:ascii="宋体" w:hAnsi="宋体" w:eastAsia="宋体" w:cs="宋体"/>
          <w:sz w:val="21"/>
          <w:szCs w:val="21"/>
          <w:lang w:val="zh-CN"/>
        </w:rPr>
        <w:t>研究进展报告：应按照伦理审查批件</w:t>
      </w:r>
      <w:r>
        <w:rPr>
          <w:rStyle w:val="31"/>
          <w:rFonts w:hint="eastAsia" w:ascii="宋体" w:hAnsi="宋体" w:eastAsia="宋体" w:cs="宋体"/>
          <w:b w:val="0"/>
          <w:bCs w:val="0"/>
          <w:sz w:val="21"/>
          <w:szCs w:val="21"/>
          <w:lang w:val="zh-CN"/>
        </w:rPr>
        <w:t>/</w:t>
      </w:r>
      <w:r>
        <w:rPr>
          <w:rStyle w:val="30"/>
          <w:rFonts w:hint="eastAsia" w:ascii="宋体" w:hAnsi="宋体" w:eastAsia="宋体" w:cs="宋体"/>
          <w:sz w:val="21"/>
          <w:szCs w:val="21"/>
          <w:lang w:val="zh-CN"/>
        </w:rPr>
        <w:t>意见规定的年度/定期跟踪审查频率，在截止日期前</w:t>
      </w:r>
      <w:r>
        <w:rPr>
          <w:rStyle w:val="31"/>
          <w:rFonts w:hint="eastAsia" w:ascii="宋体" w:hAnsi="宋体" w:eastAsia="宋体" w:cs="宋体"/>
          <w:b w:val="0"/>
          <w:bCs w:val="0"/>
          <w:sz w:val="21"/>
          <w:szCs w:val="21"/>
          <w:lang w:val="zh-CN"/>
        </w:rPr>
        <w:t>1</w:t>
      </w:r>
      <w:r>
        <w:rPr>
          <w:rStyle w:val="30"/>
          <w:rFonts w:hint="eastAsia" w:ascii="宋体" w:hAnsi="宋体" w:eastAsia="宋体" w:cs="宋体"/>
          <w:sz w:val="21"/>
          <w:szCs w:val="21"/>
          <w:lang w:val="zh-CN"/>
        </w:rPr>
        <w:t>个月提交研究进展报告；申办者应当向组长单位伦理委员会提交各中心研究进展的汇总报告；当出现任何可能显著影响研究进行、或增加试验参与者危险的情况时，应以“研究进展报告”的方式，及时报告伦理委员会。如果伦理审查批件有效期到期，需要申请延长批件有效期，应通过“研究进展报告”申请。</w:t>
      </w:r>
    </w:p>
    <w:p w14:paraId="4186DFE0">
      <w:pPr>
        <w:pStyle w:val="21"/>
        <w:widowControl/>
        <w:ind w:firstLine="420" w:firstLineChars="200"/>
        <w:rPr>
          <w:rStyle w:val="30"/>
          <w:rFonts w:ascii="宋体" w:hAnsi="宋体" w:eastAsia="宋体" w:cs="宋体"/>
          <w:sz w:val="21"/>
          <w:szCs w:val="21"/>
        </w:rPr>
      </w:pPr>
      <w:r>
        <w:rPr>
          <w:rStyle w:val="30"/>
          <w:rFonts w:hint="eastAsia" w:ascii="宋体" w:hAnsi="宋体" w:eastAsia="宋体" w:cs="宋体"/>
          <w:sz w:val="21"/>
          <w:szCs w:val="21"/>
          <w:lang w:val="zh-CN"/>
        </w:rPr>
        <w:t>严重不良事件报告：严重不良事件是指临床研究过程中发生需住院治疗、延长住院</w:t>
      </w:r>
      <w:r>
        <w:rPr>
          <w:rStyle w:val="30"/>
          <w:rFonts w:hint="eastAsia" w:ascii="宋体" w:hAnsi="宋体" w:eastAsia="宋体" w:cs="宋体"/>
          <w:sz w:val="21"/>
          <w:szCs w:val="21"/>
        </w:rPr>
        <w:t>时间、伤残、影响工作能力、危及生命或死亡、导致先天畸形等事件。发生严重不良事件，应在获知后2</w:t>
      </w:r>
      <w:r>
        <w:rPr>
          <w:rStyle w:val="30"/>
          <w:rFonts w:ascii="宋体" w:hAnsi="宋体" w:eastAsia="宋体" w:cs="宋体"/>
          <w:sz w:val="21"/>
          <w:szCs w:val="21"/>
        </w:rPr>
        <w:t>4</w:t>
      </w:r>
      <w:r>
        <w:rPr>
          <w:rStyle w:val="30"/>
          <w:rFonts w:hint="eastAsia" w:ascii="宋体" w:hAnsi="宋体" w:eastAsia="宋体" w:cs="宋体"/>
          <w:sz w:val="21"/>
          <w:szCs w:val="21"/>
        </w:rPr>
        <w:t>小时由主要研究者向伦理委员会报告。</w:t>
      </w:r>
    </w:p>
    <w:p w14:paraId="6E4763DF">
      <w:pPr>
        <w:pStyle w:val="21"/>
        <w:widowControl/>
        <w:spacing w:before="4"/>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违背方案报告：需要报告伦理委员会会议的违背方案情况包括：①重大的违背方案：研究纳入了不符合纳入标准或符合排除标准的</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，符合中止试验规定而未让</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退出研究，给予错误治疗或剂量，给予方案禁止的合并用药等没有遵从方案开展研究的情况；或可能对</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的权益/健康以及研究的科学性造成显著影响等违背GCP原则的情况。②持续违背方案，或研究者不配合监察/稽查，或对违规事件不予以纠正。凡是发生上述研究者违背GCP原则、没有遵从方案开展研究，可能对</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的权益/健康、以及研究的科学性造成显著影响的情况，研究者/申办者的监察员应提交违背方案报告。</w:t>
      </w:r>
      <w:r>
        <w:rPr>
          <w:rStyle w:val="34"/>
          <w:rFonts w:hint="eastAsia" w:hAnsi="宋体"/>
          <w:sz w:val="21"/>
          <w:szCs w:val="21"/>
          <w:lang w:val="zh-CN"/>
        </w:rPr>
        <w:t>一般的方案违背或方案偏离，程度较轻，可集中报告。</w:t>
      </w:r>
      <w:r>
        <w:rPr>
          <w:rStyle w:val="30"/>
          <w:rFonts w:hint="eastAsia" w:ascii="宋体" w:hAnsi="宋体" w:eastAsia="宋体" w:cs="宋体"/>
          <w:sz w:val="21"/>
          <w:szCs w:val="21"/>
        </w:rPr>
        <w:t>为避免研究对</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的即刻危险，研究者可在伦理委员会批准前偏离研究方案，事后应以"违背方案报告"的方式，向伦理委员会报告任何偏离已批准方案之处并作解释。</w:t>
      </w:r>
    </w:p>
    <w:p w14:paraId="43CF5780">
      <w:pPr>
        <w:pStyle w:val="21"/>
        <w:widowControl/>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暂停/终止研究报告：研究者/申办者暂停或提前终止临床研究，应及时向伦理委员提交暂停/终止研究报告。</w:t>
      </w:r>
    </w:p>
    <w:p w14:paraId="045C9C26">
      <w:pPr>
        <w:pStyle w:val="21"/>
        <w:widowControl/>
        <w:ind w:firstLine="420" w:firstLineChars="200"/>
        <w:rPr>
          <w:rStyle w:val="30"/>
          <w:rFonts w:ascii="宋体" w:hAnsi="宋体" w:eastAsia="宋体" w:cs="宋体"/>
          <w:sz w:val="21"/>
          <w:szCs w:val="21"/>
        </w:rPr>
      </w:pPr>
      <w:r>
        <w:rPr>
          <w:rStyle w:val="30"/>
          <w:rFonts w:hint="eastAsia" w:asciiTheme="minorEastAsia" w:hAnsiTheme="minorEastAsia" w:eastAsiaTheme="minorEastAsia" w:cstheme="minorEastAsia"/>
          <w:sz w:val="21"/>
          <w:szCs w:val="21"/>
        </w:rPr>
        <w:t>结题</w:t>
      </w:r>
      <w:r>
        <w:rPr>
          <w:rStyle w:val="30"/>
          <w:rFonts w:hint="eastAsia" w:ascii="宋体" w:hAnsi="宋体" w:eastAsia="宋体" w:cs="宋体"/>
          <w:sz w:val="21"/>
          <w:szCs w:val="21"/>
        </w:rPr>
        <w:t>报告：完成临床研究，应及时向伦理委员会提交</w:t>
      </w:r>
      <w:r>
        <w:rPr>
          <w:rStyle w:val="30"/>
          <w:rFonts w:hint="eastAsia" w:asciiTheme="minorEastAsia" w:hAnsiTheme="minorEastAsia" w:eastAsiaTheme="minorEastAsia" w:cstheme="minorEastAsia"/>
          <w:sz w:val="21"/>
          <w:szCs w:val="21"/>
        </w:rPr>
        <w:t>结题</w:t>
      </w:r>
      <w:r>
        <w:rPr>
          <w:rStyle w:val="30"/>
          <w:rFonts w:hint="eastAsia" w:ascii="宋体" w:hAnsi="宋体" w:eastAsia="宋体" w:cs="宋体"/>
          <w:sz w:val="21"/>
          <w:szCs w:val="21"/>
        </w:rPr>
        <w:t>报告。</w:t>
      </w:r>
    </w:p>
    <w:p w14:paraId="6FDF1EB1">
      <w:pPr>
        <w:pStyle w:val="21"/>
        <w:widowControl/>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3.复审</w:t>
      </w:r>
    </w:p>
    <w:p w14:paraId="5DA951AD">
      <w:pPr>
        <w:pStyle w:val="21"/>
        <w:widowControl/>
        <w:spacing w:before="7"/>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复审申请：上述初始审查和跟踪审查后，按伦理审查意见“不批准”，“修改后批准”，“修改后再审”对</w:t>
      </w:r>
      <w:r>
        <w:rPr>
          <w:rStyle w:val="30"/>
          <w:rFonts w:hint="eastAsia" w:ascii="宋体" w:hAnsi="宋体" w:eastAsia="宋体" w:cs="宋体"/>
          <w:sz w:val="21"/>
          <w:szCs w:val="21"/>
          <w:lang w:val="en-US" w:eastAsia="zh-CN"/>
        </w:rPr>
        <w:t>相关文件</w:t>
      </w:r>
      <w:r>
        <w:rPr>
          <w:rStyle w:val="30"/>
          <w:rFonts w:hint="eastAsia" w:ascii="宋体" w:hAnsi="宋体" w:eastAsia="宋体" w:cs="宋体"/>
          <w:sz w:val="21"/>
          <w:szCs w:val="21"/>
        </w:rPr>
        <w:t>进行修改后，应以“复审申请”的方式再次送审， 经伦理委员会批准后方可实施；如果对伦理审查意见有不同的看法，可以“复审申请”的方式申诉不同意见，请伦理委员会重新考虑决定。</w:t>
      </w:r>
    </w:p>
    <w:p w14:paraId="43AF50E9">
      <w:pPr>
        <w:pStyle w:val="23"/>
        <w:widowControl/>
        <w:spacing w:line="240" w:lineRule="auto"/>
        <w:ind w:firstLine="420" w:firstLineChars="200"/>
        <w:rPr>
          <w:rStyle w:val="30"/>
          <w:rFonts w:ascii="宋体" w:hAnsi="宋体" w:eastAsia="宋体" w:cs="宋体"/>
          <w:sz w:val="21"/>
          <w:szCs w:val="21"/>
          <w:lang w:val="zh-CN"/>
        </w:rPr>
      </w:pPr>
    </w:p>
    <w:p w14:paraId="37BFC62C">
      <w:pPr>
        <w:pStyle w:val="23"/>
        <w:widowControl/>
        <w:spacing w:before="106"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三、提交伦理审查的流程</w:t>
      </w:r>
    </w:p>
    <w:p w14:paraId="5322636B">
      <w:pPr>
        <w:pStyle w:val="18"/>
        <w:widowControl/>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1.送审</w:t>
      </w:r>
    </w:p>
    <w:p w14:paraId="694CED1D">
      <w:pPr>
        <w:pStyle w:val="21"/>
        <w:widowControl/>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送审责任者：研究项目的送审责任者一般为主要研究者；新药和医疗器械临床试验的申办者一般负责准备送审材料。</w:t>
      </w:r>
    </w:p>
    <w:p w14:paraId="47316B4B">
      <w:pPr>
        <w:pStyle w:val="21"/>
        <w:widowControl/>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准备送审文件：根据送审文件清单，准备送审文件；方案和知情同意书注明版本号和版本日期。</w:t>
      </w:r>
    </w:p>
    <w:p w14:paraId="4DEDFC74">
      <w:pPr>
        <w:pStyle w:val="21"/>
        <w:widowControl/>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填写申请/报告的表格：根据伦理审查申请/报告的类别，填写相应的“申请”或“报告”。</w:t>
      </w:r>
    </w:p>
    <w:p w14:paraId="3DFAD0AC">
      <w:pPr>
        <w:pStyle w:val="21"/>
        <w:widowControl/>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提交：</w:t>
      </w:r>
      <w:r>
        <w:rPr>
          <w:rStyle w:val="30"/>
          <w:rFonts w:hint="eastAsia" w:asciiTheme="minorEastAsia" w:hAnsiTheme="minorEastAsia" w:eastAsiaTheme="minorEastAsia" w:cstheme="minorEastAsia"/>
          <w:sz w:val="21"/>
          <w:szCs w:val="21"/>
        </w:rPr>
        <w:t>线上</w:t>
      </w:r>
      <w:r>
        <w:rPr>
          <w:rStyle w:val="30"/>
          <w:rFonts w:hint="eastAsia" w:ascii="宋体" w:hAnsi="宋体" w:eastAsia="宋体" w:cs="宋体"/>
          <w:sz w:val="21"/>
          <w:szCs w:val="21"/>
        </w:rPr>
        <w:t>提交送审文件。</w:t>
      </w:r>
    </w:p>
    <w:p w14:paraId="5A242ADA">
      <w:pPr>
        <w:pStyle w:val="18"/>
        <w:widowControl/>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2</w:t>
      </w:r>
      <w:r>
        <w:rPr>
          <w:rStyle w:val="30"/>
          <w:rFonts w:hint="eastAsia" w:ascii="宋体" w:hAnsi="宋体" w:eastAsia="宋体" w:cs="宋体"/>
          <w:sz w:val="21"/>
          <w:szCs w:val="21"/>
          <w:lang w:val="zh-CN"/>
        </w:rPr>
        <w:t>.</w:t>
      </w:r>
      <w:r>
        <w:rPr>
          <w:rStyle w:val="30"/>
          <w:rFonts w:hint="eastAsia" w:ascii="宋体" w:hAnsi="宋体" w:eastAsia="宋体" w:cs="宋体"/>
          <w:sz w:val="21"/>
          <w:szCs w:val="21"/>
        </w:rPr>
        <w:t>接受审查的准备</w:t>
      </w:r>
    </w:p>
    <w:p w14:paraId="388CDB44">
      <w:pPr>
        <w:pStyle w:val="12"/>
        <w:widowControl/>
        <w:spacing w:before="4"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 xml:space="preserve"> 会议时间/地点：秘书会电话/短信通知。</w:t>
      </w:r>
    </w:p>
    <w:p w14:paraId="0EC49307">
      <w:pPr>
        <w:pStyle w:val="12"/>
        <w:widowControl/>
        <w:spacing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准备向会议报告：主要研究者/研究者准备报告文件，并应亲自到会报告，提前15分钟到达会场。因故不能到会报告，应事先向伦理委员会办公室请假，该项目转入下次会议审查。</w:t>
      </w:r>
    </w:p>
    <w:p w14:paraId="2649266C">
      <w:pPr>
        <w:pStyle w:val="21"/>
        <w:widowControl/>
        <w:numPr>
          <w:ilvl w:val="0"/>
          <w:numId w:val="6"/>
        </w:numPr>
        <w:tabs>
          <w:tab w:val="left" w:pos="796"/>
        </w:tabs>
        <w:spacing w:before="436"/>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伦理审查的时间</w:t>
      </w:r>
    </w:p>
    <w:p w14:paraId="5F53BD85">
      <w:pPr>
        <w:pStyle w:val="12"/>
        <w:widowControl/>
        <w:spacing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研究伦理委员会根据送审项目数量召开审查会议，需要时可以增加审查会议次数。</w:t>
      </w:r>
    </w:p>
    <w:p w14:paraId="2A9A91AD">
      <w:pPr>
        <w:pStyle w:val="12"/>
        <w:widowControl/>
        <w:spacing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研究过程中出现重大或严重问题，危及</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安全时，或发生其他需要伦理委员会召开会议进行紧急审查和决定的情况，伦理委员会将召开紧急会议进行审查。</w:t>
      </w:r>
    </w:p>
    <w:p w14:paraId="06D36514">
      <w:pPr>
        <w:pStyle w:val="21"/>
        <w:widowControl/>
        <w:numPr>
          <w:ilvl w:val="0"/>
          <w:numId w:val="7"/>
        </w:numPr>
        <w:tabs>
          <w:tab w:val="left" w:pos="796"/>
        </w:tabs>
        <w:spacing w:before="342"/>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审查决定的传达</w:t>
      </w:r>
    </w:p>
    <w:p w14:paraId="76D971D3">
      <w:pPr>
        <w:pStyle w:val="12"/>
        <w:widowControl/>
        <w:spacing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伦理委员会办公室在做出伦理审查决定后</w:t>
      </w:r>
      <w:r>
        <w:rPr>
          <w:rStyle w:val="30"/>
          <w:rFonts w:hint="eastAsia" w:asciiTheme="minorEastAsia" w:hAnsiTheme="minorEastAsia" w:eastAsiaTheme="minorEastAsia" w:cstheme="minorEastAsia"/>
          <w:sz w:val="21"/>
          <w:szCs w:val="21"/>
        </w:rPr>
        <w:t>7天</w:t>
      </w:r>
      <w:r>
        <w:rPr>
          <w:rStyle w:val="30"/>
          <w:rFonts w:hint="eastAsia" w:ascii="宋体" w:hAnsi="宋体" w:eastAsia="宋体" w:cs="宋体"/>
          <w:sz w:val="21"/>
          <w:szCs w:val="21"/>
        </w:rPr>
        <w:t>内，以“伦理审查批件”或“伦理审查意见”的书面/电子方式传达审查决定。</w:t>
      </w:r>
    </w:p>
    <w:p w14:paraId="0EF0A963">
      <w:pPr>
        <w:pStyle w:val="12"/>
        <w:widowControl/>
        <w:spacing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如果审查意见为肯定性决定（同意继续研究，或不需要采取进一步的措施、并且审查类别属于严重不良事件审查，违背方案审查，暂停/终止研究审查，</w:t>
      </w:r>
      <w:r>
        <w:rPr>
          <w:rStyle w:val="30"/>
          <w:rFonts w:hint="eastAsia" w:asciiTheme="minorEastAsia" w:hAnsiTheme="minorEastAsia" w:eastAsiaTheme="minorEastAsia" w:cstheme="minorEastAsia"/>
          <w:sz w:val="21"/>
          <w:szCs w:val="21"/>
        </w:rPr>
        <w:t>结题</w:t>
      </w:r>
      <w:r>
        <w:rPr>
          <w:rStyle w:val="30"/>
          <w:rFonts w:hint="eastAsia" w:ascii="宋体" w:hAnsi="宋体" w:eastAsia="宋体" w:cs="宋体"/>
          <w:sz w:val="21"/>
          <w:szCs w:val="21"/>
        </w:rPr>
        <w:t>审查，以及上述审查类别审查后的复审</w:t>
      </w:r>
      <w:r>
        <w:rPr>
          <w:rStyle w:val="30"/>
          <w:rFonts w:hint="eastAsia" w:hAnsi="宋体" w:cs="宋体"/>
          <w:sz w:val="21"/>
          <w:szCs w:val="21"/>
        </w:rPr>
        <w:t>）</w:t>
      </w:r>
      <w:r>
        <w:rPr>
          <w:rStyle w:val="30"/>
          <w:rFonts w:hint="eastAsia" w:ascii="宋体" w:hAnsi="宋体" w:eastAsia="宋体" w:cs="宋体"/>
          <w:sz w:val="21"/>
          <w:szCs w:val="21"/>
        </w:rPr>
        <w:t>，伦理委员会的决定可以不传达。</w:t>
      </w:r>
    </w:p>
    <w:p w14:paraId="419EE6A6">
      <w:pPr>
        <w:pStyle w:val="12"/>
        <w:widowControl/>
        <w:spacing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对伦理审查决定有不同意见，可以向伦理委员会提交复审申请，与伦理委员会委员和办公室沟通交流，还可以向医院质量管理部门申诉。</w:t>
      </w:r>
    </w:p>
    <w:p w14:paraId="0803442D">
      <w:pPr>
        <w:pStyle w:val="21"/>
        <w:widowControl/>
        <w:numPr>
          <w:ilvl w:val="0"/>
          <w:numId w:val="8"/>
        </w:numPr>
        <w:tabs>
          <w:tab w:val="left" w:pos="796"/>
        </w:tabs>
        <w:spacing w:before="342"/>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伦理审查的费用</w:t>
      </w:r>
    </w:p>
    <w:p w14:paraId="005B2BF9">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伦理委员会对收取审查费用的项目类别规定如下：</w:t>
      </w:r>
    </w:p>
    <w:p w14:paraId="44B296B8">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①药物/器械临床试验；</w:t>
      </w:r>
    </w:p>
    <w:p w14:paraId="124CF195">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②有</w:t>
      </w:r>
      <w:r>
        <w:rPr>
          <w:rStyle w:val="30"/>
          <w:rFonts w:hint="eastAsia" w:hAnsi="宋体" w:cs="宋体"/>
          <w:sz w:val="21"/>
          <w:szCs w:val="21"/>
          <w:lang w:eastAsia="zh-CN"/>
        </w:rPr>
        <w:t>申办者</w:t>
      </w:r>
      <w:r>
        <w:rPr>
          <w:rStyle w:val="30"/>
          <w:rFonts w:hint="eastAsia" w:ascii="宋体" w:hAnsi="宋体" w:eastAsia="宋体" w:cs="宋体"/>
          <w:sz w:val="21"/>
          <w:szCs w:val="21"/>
        </w:rPr>
        <w:t>资金赞助的IIT研究（研究者发起的临床试验）。</w:t>
      </w:r>
    </w:p>
    <w:p w14:paraId="2CDC8FBC">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对以上项目的初始审查及修正案审查收取审查费，汇款信息及数额说明如下：</w:t>
      </w:r>
    </w:p>
    <w:p w14:paraId="2482F863">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数额说明：</w:t>
      </w:r>
    </w:p>
    <w:p w14:paraId="4F7FC6AE">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一、初始审查</w:t>
      </w:r>
    </w:p>
    <w:p w14:paraId="73F5DD72">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1、会议审查：5000元；</w:t>
      </w:r>
    </w:p>
    <w:p w14:paraId="3A3D4F42">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2、快速审查：3000元。</w:t>
      </w:r>
    </w:p>
    <w:p w14:paraId="5D165FBB">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二、修正案审查</w:t>
      </w:r>
    </w:p>
    <w:p w14:paraId="3E637116">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1、会议审查：5000元；</w:t>
      </w:r>
    </w:p>
    <w:p w14:paraId="07F61EE7">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2、快速审查：2000元。</w:t>
      </w:r>
    </w:p>
    <w:p w14:paraId="080C4975">
      <w:pPr>
        <w:pStyle w:val="12"/>
        <w:widowControl/>
        <w:spacing w:before="79" w:line="240" w:lineRule="auto"/>
        <w:ind w:firstLine="420" w:firstLineChars="200"/>
        <w:jc w:val="left"/>
        <w:rPr>
          <w:rStyle w:val="30"/>
          <w:rFonts w:ascii="宋体" w:hAnsi="宋体" w:eastAsia="宋体" w:cs="宋体"/>
          <w:sz w:val="21"/>
          <w:szCs w:val="21"/>
        </w:rPr>
      </w:pPr>
    </w:p>
    <w:p w14:paraId="5A6AB032">
      <w:pPr>
        <w:pStyle w:val="12"/>
        <w:widowControl/>
        <w:spacing w:before="79" w:line="240" w:lineRule="auto"/>
        <w:ind w:firstLine="420" w:firstLineChars="200"/>
        <w:jc w:val="left"/>
        <w:rPr>
          <w:rStyle w:val="30"/>
          <w:rFonts w:ascii="宋体" w:hAnsi="宋体" w:eastAsia="宋体" w:cs="宋体"/>
          <w:sz w:val="21"/>
          <w:szCs w:val="21"/>
        </w:rPr>
      </w:pPr>
      <w:r>
        <w:rPr>
          <w:rStyle w:val="30"/>
          <w:rFonts w:hint="eastAsia" w:ascii="宋体" w:hAnsi="宋体" w:eastAsia="宋体" w:cs="宋体"/>
          <w:sz w:val="21"/>
          <w:szCs w:val="21"/>
        </w:rPr>
        <w:t>七、 免除知情同意 </w:t>
      </w:r>
    </w:p>
    <w:p w14:paraId="49F64BD3">
      <w:pPr>
        <w:pStyle w:val="6"/>
        <w:spacing w:beforeAutospacing="0" w:afterAutospacing="0"/>
        <w:ind w:firstLine="420" w:firstLineChars="200"/>
        <w:jc w:val="both"/>
        <w:rPr>
          <w:rFonts w:ascii="宋体" w:hAnsi="宋体" w:eastAsia="宋体" w:cs="宋体"/>
        </w:rPr>
      </w:pPr>
      <w:r>
        <w:rPr>
          <w:rStyle w:val="30"/>
          <w:rFonts w:hint="eastAsia" w:ascii="宋体" w:hAnsi="宋体" w:eastAsia="宋体" w:cs="宋体"/>
          <w:sz w:val="21"/>
          <w:szCs w:val="21"/>
        </w:rPr>
        <w:br w:type="textWrapping"/>
      </w:r>
      <w:r>
        <w:rPr>
          <w:rStyle w:val="30"/>
          <w:rFonts w:hint="eastAsia" w:ascii="宋体" w:hAnsi="宋体" w:eastAsia="宋体" w:cs="宋体"/>
          <w:sz w:val="21"/>
          <w:szCs w:val="21"/>
        </w:rPr>
        <w:t xml:space="preserve">    以下情形经伦理委员会审查批准后，可以豁免知情同意： </w:t>
      </w:r>
      <w:r>
        <w:rPr>
          <w:rStyle w:val="30"/>
          <w:rFonts w:hint="eastAsia" w:ascii="宋体" w:hAnsi="宋体" w:eastAsia="宋体" w:cs="宋体"/>
          <w:sz w:val="21"/>
          <w:szCs w:val="21"/>
        </w:rPr>
        <w:br w:type="textWrapping"/>
      </w:r>
      <w:r>
        <w:rPr>
          <w:rStyle w:val="30"/>
          <w:rFonts w:hint="eastAsia" w:ascii="宋体" w:hAnsi="宋体" w:eastAsia="宋体" w:cs="宋体"/>
          <w:sz w:val="21"/>
          <w:szCs w:val="21"/>
        </w:rPr>
        <w:t>　　（一）利用可识别身份信息的人体材料或者数据进行研究，已无法找到该</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，且研究项目不涉及个人隐私和商业利益的； </w:t>
      </w:r>
      <w:r>
        <w:rPr>
          <w:rStyle w:val="30"/>
          <w:rFonts w:hint="eastAsia" w:ascii="宋体" w:hAnsi="宋体" w:eastAsia="宋体" w:cs="宋体"/>
          <w:sz w:val="21"/>
          <w:szCs w:val="21"/>
        </w:rPr>
        <w:br w:type="textWrapping"/>
      </w:r>
      <w:r>
        <w:rPr>
          <w:rStyle w:val="30"/>
          <w:rFonts w:hint="eastAsia" w:ascii="宋体" w:hAnsi="宋体" w:eastAsia="宋体" w:cs="宋体"/>
          <w:sz w:val="21"/>
          <w:szCs w:val="21"/>
        </w:rPr>
        <w:t>　　（二）生物样本捐献者已经签署了知情同意书，同意所捐献样本及相关信息可用于所有医学研究的。 </w:t>
      </w:r>
    </w:p>
    <w:p w14:paraId="08C7B971">
      <w:pPr>
        <w:pStyle w:val="35"/>
        <w:numPr>
          <w:ilvl w:val="0"/>
          <w:numId w:val="9"/>
        </w:numPr>
        <w:tabs>
          <w:tab w:val="left" w:pos="832"/>
        </w:tabs>
        <w:spacing w:before="330"/>
        <w:ind w:left="0" w:firstLine="420" w:firstLineChars="200"/>
        <w:rPr>
          <w:rStyle w:val="30"/>
          <w:rFonts w:ascii="宋体" w:hAnsi="宋体" w:eastAsia="宋体" w:cs="宋体"/>
          <w:sz w:val="21"/>
          <w:szCs w:val="21"/>
        </w:rPr>
      </w:pPr>
      <w:r>
        <w:rPr>
          <w:rStyle w:val="30"/>
          <w:rFonts w:hint="eastAsia" w:ascii="宋体" w:hAnsi="宋体" w:eastAsia="宋体" w:cs="宋体"/>
          <w:sz w:val="21"/>
          <w:szCs w:val="21"/>
        </w:rPr>
        <w:t>免除知情同意书签字</w:t>
      </w:r>
    </w:p>
    <w:p w14:paraId="7121EB15">
      <w:pPr>
        <w:pStyle w:val="23"/>
        <w:widowControl/>
        <w:spacing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以下两种情况可以申请免除知情同意签字：</w:t>
      </w:r>
    </w:p>
    <w:p w14:paraId="3D4465F6">
      <w:pPr>
        <w:pStyle w:val="23"/>
        <w:widowControl/>
        <w:spacing w:before="116"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·当一份签了字的知情同意书会对</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的隐私构成不正当的威胁，联系</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真实身份和研究的唯一记录是知情同意文件，并且主要风险就来自于</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身份或个人隐私的泄露。在这种情况下，应该遵循每一位</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本人的意愿是否签署书面知情同意文件。</w:t>
      </w:r>
    </w:p>
    <w:p w14:paraId="04086669">
      <w:pPr>
        <w:pStyle w:val="21"/>
        <w:widowControl/>
        <w:spacing w:before="116"/>
        <w:ind w:firstLine="420" w:firstLineChars="200"/>
        <w:jc w:val="both"/>
        <w:rPr>
          <w:rStyle w:val="30"/>
          <w:rFonts w:ascii="宋体" w:hAnsi="宋体" w:eastAsia="宋体" w:cs="宋体"/>
          <w:sz w:val="21"/>
          <w:szCs w:val="21"/>
        </w:rPr>
      </w:pPr>
      <w:r>
        <w:rPr>
          <w:rStyle w:val="30"/>
          <w:rFonts w:hint="eastAsia" w:ascii="宋体" w:hAnsi="宋体" w:eastAsia="宋体" w:cs="宋体"/>
          <w:sz w:val="21"/>
          <w:szCs w:val="21"/>
        </w:rPr>
        <w:t>·研究对</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的风险不大于最小风险，并且如果脱离“研究”背景，相同情况下的行为或程序不要求签署书面知情同意。例如，邮件/电话调查。</w:t>
      </w:r>
    </w:p>
    <w:p w14:paraId="514D8E07">
      <w:pPr>
        <w:pStyle w:val="21"/>
        <w:widowControl/>
        <w:ind w:firstLine="420" w:firstLineChars="200"/>
        <w:jc w:val="both"/>
        <w:rPr>
          <w:rStyle w:val="30"/>
          <w:rFonts w:ascii="宋体" w:hAnsi="宋体" w:eastAsia="宋体" w:cs="宋体"/>
          <w:sz w:val="21"/>
          <w:szCs w:val="21"/>
        </w:rPr>
      </w:pPr>
      <w:r>
        <w:rPr>
          <w:rStyle w:val="30"/>
          <w:rFonts w:hint="eastAsia" w:ascii="宋体" w:hAnsi="宋体" w:eastAsia="宋体" w:cs="宋体"/>
          <w:sz w:val="21"/>
          <w:szCs w:val="21"/>
        </w:rPr>
        <w:t>对于批准免除签署书面知情同意文件的研究项目，伦理委员会可以要求研究者向</w:t>
      </w:r>
      <w:r>
        <w:rPr>
          <w:rStyle w:val="30"/>
          <w:rFonts w:hint="eastAsia" w:ascii="宋体" w:hAnsi="宋体" w:eastAsia="宋体" w:cs="宋体"/>
          <w:sz w:val="21"/>
          <w:szCs w:val="21"/>
          <w:lang w:val="zh-CN"/>
        </w:rPr>
        <w:t>试验参与者</w:t>
      </w:r>
      <w:r>
        <w:rPr>
          <w:rStyle w:val="30"/>
          <w:rFonts w:hint="eastAsia" w:ascii="宋体" w:hAnsi="宋体" w:eastAsia="宋体" w:cs="宋体"/>
          <w:sz w:val="21"/>
          <w:szCs w:val="21"/>
        </w:rPr>
        <w:t xml:space="preserve">提供书面告知信息。 </w:t>
      </w:r>
    </w:p>
    <w:p w14:paraId="274E921D">
      <w:pPr>
        <w:pStyle w:val="21"/>
        <w:widowControl/>
        <w:ind w:firstLine="420" w:firstLineChars="200"/>
        <w:rPr>
          <w:rStyle w:val="30"/>
          <w:rFonts w:ascii="宋体" w:hAnsi="宋体" w:eastAsia="宋体" w:cs="宋体"/>
          <w:sz w:val="21"/>
          <w:szCs w:val="21"/>
        </w:rPr>
      </w:pPr>
    </w:p>
    <w:p w14:paraId="0C4827C6">
      <w:pPr>
        <w:pStyle w:val="36"/>
        <w:spacing w:before="91" w:after="0"/>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九、联系方式</w:t>
      </w:r>
    </w:p>
    <w:p w14:paraId="472A841D">
      <w:pPr>
        <w:pStyle w:val="32"/>
        <w:spacing w:before="7" w:after="0"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伦理委员会办公室电话：0571-86006811</w:t>
      </w:r>
    </w:p>
    <w:p w14:paraId="451B1451">
      <w:pPr>
        <w:pStyle w:val="32"/>
        <w:spacing w:before="4" w:after="0" w:line="240" w:lineRule="auto"/>
        <w:ind w:firstLine="420" w:firstLineChars="200"/>
        <w:rPr>
          <w:rStyle w:val="30"/>
          <w:rFonts w:ascii="宋体" w:hAnsi="宋体" w:eastAsia="宋体" w:cs="宋体"/>
          <w:sz w:val="21"/>
          <w:szCs w:val="21"/>
        </w:rPr>
      </w:pPr>
      <w:r>
        <w:rPr>
          <w:rStyle w:val="30"/>
          <w:rFonts w:hint="eastAsia" w:ascii="宋体" w:hAnsi="宋体" w:eastAsia="宋体" w:cs="宋体"/>
          <w:sz w:val="21"/>
          <w:szCs w:val="21"/>
        </w:rPr>
        <w:t>联系人：许鸣、杨漾池</w:t>
      </w:r>
      <w:r>
        <w:rPr>
          <w:rStyle w:val="30"/>
          <w:rFonts w:hint="eastAsia" w:hAnsi="宋体" w:eastAsia="宋体" w:cs="宋体"/>
          <w:sz w:val="21"/>
          <w:szCs w:val="21"/>
        </w:rPr>
        <w:t>、李亚龙</w:t>
      </w:r>
    </w:p>
    <w:p w14:paraId="3AE741B7">
      <w:pPr>
        <w:pStyle w:val="37"/>
        <w:spacing w:after="0"/>
        <w:ind w:firstLine="420" w:firstLineChars="200"/>
        <w:rPr>
          <w:rStyle w:val="30"/>
          <w:rFonts w:ascii="宋体" w:hAnsi="宋体" w:eastAsia="宋体" w:cs="宋体"/>
          <w:sz w:val="21"/>
          <w:szCs w:val="21"/>
          <w:lang w:val="en-US"/>
        </w:rPr>
      </w:pPr>
      <w:r>
        <w:rPr>
          <w:rStyle w:val="30"/>
          <w:rFonts w:hint="eastAsia" w:ascii="宋体" w:hAnsi="宋体" w:eastAsia="宋体" w:cs="宋体"/>
          <w:sz w:val="21"/>
          <w:szCs w:val="21"/>
          <w:lang w:val="en-US"/>
        </w:rPr>
        <w:t>Email:</w:t>
      </w:r>
    </w:p>
    <w:p w14:paraId="54D0DE99">
      <w:pPr>
        <w:pStyle w:val="37"/>
        <w:spacing w:after="0"/>
        <w:ind w:firstLine="420" w:firstLineChars="200"/>
        <w:rPr>
          <w:rStyle w:val="30"/>
          <w:rFonts w:ascii="宋体" w:hAnsi="宋体" w:eastAsia="宋体" w:cs="宋体"/>
          <w:sz w:val="21"/>
          <w:szCs w:val="21"/>
          <w:lang w:val="en-US"/>
        </w:rPr>
      </w:pPr>
      <w:r>
        <w:rPr>
          <w:rStyle w:val="30"/>
          <w:rFonts w:ascii="宋体" w:hAnsi="宋体" w:eastAsia="宋体" w:cs="宋体"/>
          <w:sz w:val="21"/>
          <w:szCs w:val="21"/>
        </w:rPr>
        <w:t>xm@srrsh.com</w:t>
      </w:r>
      <w:r>
        <w:rPr>
          <w:rStyle w:val="30"/>
          <w:rFonts w:hint="eastAsia" w:ascii="宋体" w:hAnsi="宋体" w:eastAsia="宋体" w:cs="宋体"/>
          <w:sz w:val="21"/>
          <w:szCs w:val="21"/>
          <w:lang w:val="en-US"/>
        </w:rPr>
        <w:t>（</w:t>
      </w:r>
      <w:r>
        <w:rPr>
          <w:rStyle w:val="30"/>
          <w:rFonts w:hint="eastAsia" w:ascii="宋体" w:hAnsi="宋体" w:eastAsia="宋体" w:cs="宋体"/>
          <w:sz w:val="21"/>
          <w:szCs w:val="21"/>
          <w:lang w:val="zh-CN"/>
        </w:rPr>
        <w:t>许鸣</w:t>
      </w:r>
      <w:r>
        <w:rPr>
          <w:rStyle w:val="30"/>
          <w:rFonts w:hint="eastAsia" w:ascii="宋体" w:hAnsi="宋体" w:eastAsia="宋体" w:cs="宋体"/>
          <w:sz w:val="21"/>
          <w:szCs w:val="21"/>
          <w:lang w:val="en-US"/>
        </w:rPr>
        <w:t>）</w:t>
      </w:r>
    </w:p>
    <w:p w14:paraId="6BF87A9B">
      <w:pPr>
        <w:pStyle w:val="37"/>
        <w:spacing w:after="0"/>
        <w:ind w:firstLine="420" w:firstLineChars="200"/>
        <w:rPr>
          <w:rStyle w:val="30"/>
          <w:rFonts w:ascii="宋体" w:hAnsi="宋体" w:eastAsia="宋体" w:cs="宋体"/>
          <w:sz w:val="21"/>
          <w:szCs w:val="21"/>
          <w:lang w:val="en-US"/>
        </w:rPr>
      </w:pPr>
      <w:r>
        <w:rPr>
          <w:rStyle w:val="30"/>
          <w:rFonts w:hint="eastAsia" w:ascii="宋体" w:hAnsi="宋体" w:eastAsia="宋体" w:cs="宋体"/>
          <w:sz w:val="21"/>
          <w:szCs w:val="21"/>
          <w:lang w:val="en-US"/>
        </w:rPr>
        <w:t>yyc</w:t>
      </w:r>
      <w:r>
        <w:rPr>
          <w:rStyle w:val="30"/>
          <w:rFonts w:ascii="宋体" w:hAnsi="宋体" w:eastAsia="宋体" w:cs="宋体"/>
          <w:sz w:val="21"/>
          <w:szCs w:val="21"/>
        </w:rPr>
        <w:t>@srrsh.com</w:t>
      </w:r>
      <w:r>
        <w:rPr>
          <w:rStyle w:val="30"/>
          <w:rFonts w:hint="eastAsia" w:ascii="宋体" w:hAnsi="宋体" w:eastAsia="宋体" w:cs="宋体"/>
          <w:sz w:val="21"/>
          <w:szCs w:val="21"/>
          <w:lang w:val="en-US"/>
        </w:rPr>
        <w:t>（</w:t>
      </w:r>
      <w:r>
        <w:rPr>
          <w:rStyle w:val="30"/>
          <w:rFonts w:hint="eastAsia" w:ascii="宋体" w:hAnsi="宋体" w:eastAsia="宋体" w:cs="宋体"/>
          <w:sz w:val="21"/>
          <w:szCs w:val="21"/>
          <w:lang w:val="zh-CN"/>
        </w:rPr>
        <w:t>杨漾池</w:t>
      </w:r>
      <w:r>
        <w:rPr>
          <w:rStyle w:val="30"/>
          <w:rFonts w:hint="eastAsia" w:ascii="宋体" w:hAnsi="宋体" w:eastAsia="宋体" w:cs="宋体"/>
          <w:sz w:val="21"/>
          <w:szCs w:val="21"/>
          <w:lang w:val="en-US"/>
        </w:rPr>
        <w:t>）</w:t>
      </w:r>
    </w:p>
    <w:p w14:paraId="36848325">
      <w:pPr>
        <w:pStyle w:val="37"/>
        <w:spacing w:after="0"/>
        <w:ind w:firstLine="420" w:firstLineChars="200"/>
        <w:rPr>
          <w:rStyle w:val="30"/>
          <w:rFonts w:ascii="宋体" w:hAnsi="宋体" w:eastAsia="宋体" w:cs="宋体"/>
          <w:sz w:val="21"/>
          <w:szCs w:val="21"/>
          <w:lang w:val="en-US"/>
        </w:rPr>
      </w:pPr>
      <w:r>
        <w:rPr>
          <w:rStyle w:val="30"/>
          <w:rFonts w:ascii="宋体" w:hAnsi="宋体" w:eastAsia="宋体" w:cs="宋体"/>
          <w:sz w:val="21"/>
          <w:szCs w:val="21"/>
        </w:rPr>
        <w:t>liyl@srrsh.com</w:t>
      </w:r>
      <w:r>
        <w:rPr>
          <w:rStyle w:val="30"/>
          <w:rFonts w:hint="eastAsia" w:hAnsi="宋体" w:eastAsia="宋体" w:cs="宋体"/>
          <w:sz w:val="21"/>
          <w:szCs w:val="21"/>
          <w:lang w:val="en-US"/>
        </w:rPr>
        <w:t>（</w:t>
      </w:r>
      <w:r>
        <w:rPr>
          <w:rStyle w:val="30"/>
          <w:rFonts w:hint="eastAsia" w:hAnsi="宋体" w:eastAsia="宋体" w:cs="宋体"/>
          <w:sz w:val="21"/>
          <w:szCs w:val="21"/>
        </w:rPr>
        <w:t>李亚龙</w:t>
      </w:r>
      <w:r>
        <w:rPr>
          <w:rStyle w:val="30"/>
          <w:rFonts w:hint="eastAsia" w:hAnsi="宋体" w:eastAsia="宋体" w:cs="宋体"/>
          <w:sz w:val="21"/>
          <w:szCs w:val="21"/>
          <w:lang w:val="en-US"/>
        </w:rPr>
        <w:t>）</w:t>
      </w:r>
    </w:p>
    <w:p w14:paraId="14A7FF95">
      <w:pPr>
        <w:pStyle w:val="37"/>
        <w:spacing w:after="0"/>
        <w:ind w:firstLine="420" w:firstLineChars="200"/>
        <w:rPr>
          <w:rStyle w:val="30"/>
          <w:rFonts w:ascii="宋体" w:hAnsi="宋体" w:eastAsia="宋体" w:cs="宋体"/>
          <w:sz w:val="21"/>
          <w:szCs w:val="21"/>
        </w:rPr>
      </w:pPr>
      <w:r>
        <w:rPr>
          <w:rStyle w:val="30"/>
          <w:rFonts w:ascii="宋体" w:hAnsi="宋体" w:eastAsia="宋体" w:cs="宋体"/>
          <w:sz w:val="21"/>
          <w:szCs w:val="21"/>
        </w:rPr>
        <w:fldChar w:fldCharType="begin"/>
      </w:r>
      <w:r>
        <w:rPr>
          <w:rStyle w:val="30"/>
          <w:rFonts w:ascii="宋体" w:hAnsi="宋体" w:eastAsia="宋体" w:cs="宋体"/>
          <w:sz w:val="21"/>
          <w:szCs w:val="21"/>
        </w:rPr>
        <w:instrText xml:space="preserve"> </w:instrText>
      </w:r>
      <w:r>
        <w:rPr>
          <w:rStyle w:val="30"/>
          <w:rFonts w:hint="eastAsia" w:ascii="宋体" w:hAnsi="宋体" w:eastAsia="宋体" w:cs="宋体"/>
          <w:sz w:val="21"/>
          <w:szCs w:val="21"/>
        </w:rPr>
        <w:instrText xml:space="preserve">HYPERLINK "mailto:</w:instrText>
      </w:r>
      <w:r>
        <w:rPr>
          <w:rStyle w:val="30"/>
          <w:rFonts w:hint="eastAsia" w:ascii="宋体" w:hAnsi="宋体" w:eastAsia="宋体" w:cs="宋体"/>
          <w:sz w:val="21"/>
          <w:szCs w:val="21"/>
          <w:lang w:val="en-US"/>
        </w:rPr>
        <w:instrText xml:space="preserve">srrshec@</w:instrText>
      </w:r>
      <w:r>
        <w:rPr>
          <w:rStyle w:val="30"/>
          <w:rFonts w:ascii="宋体" w:hAnsi="宋体" w:eastAsia="宋体" w:cs="宋体"/>
          <w:sz w:val="21"/>
          <w:szCs w:val="21"/>
        </w:rPr>
        <w:instrText xml:space="preserve">vip.</w:instrText>
      </w:r>
      <w:r>
        <w:rPr>
          <w:rStyle w:val="30"/>
          <w:rFonts w:hint="eastAsia" w:ascii="宋体" w:hAnsi="宋体" w:eastAsia="宋体" w:cs="宋体"/>
          <w:sz w:val="21"/>
          <w:szCs w:val="21"/>
          <w:lang w:val="en-US"/>
        </w:rPr>
        <w:instrText xml:space="preserve">126.com（</w:instrText>
      </w:r>
      <w:r>
        <w:rPr>
          <w:rStyle w:val="30"/>
          <w:rFonts w:hint="eastAsia" w:ascii="宋体" w:hAnsi="宋体" w:eastAsia="宋体" w:cs="宋体"/>
          <w:sz w:val="21"/>
          <w:szCs w:val="21"/>
          <w:lang w:val="zh-CN"/>
        </w:rPr>
        <w:instrText xml:space="preserve">公共邮箱</w:instrText>
      </w:r>
      <w:r>
        <w:rPr>
          <w:rStyle w:val="30"/>
          <w:rFonts w:hint="eastAsia" w:ascii="宋体" w:hAnsi="宋体" w:eastAsia="宋体" w:cs="宋体"/>
          <w:sz w:val="21"/>
          <w:szCs w:val="21"/>
          <w:lang w:val="en-US"/>
        </w:rPr>
        <w:instrText xml:space="preserve">，</w:instrText>
      </w:r>
      <w:r>
        <w:rPr>
          <w:rStyle w:val="30"/>
          <w:rFonts w:hint="eastAsia" w:ascii="宋体" w:hAnsi="宋体" w:eastAsia="宋体" w:cs="宋体"/>
          <w:sz w:val="21"/>
          <w:szCs w:val="21"/>
          <w:lang w:val="zh-CN"/>
        </w:rPr>
        <w:instrText xml:space="preserve">仅用于接收线下</w:instrText>
      </w:r>
      <w:r>
        <w:rPr>
          <w:rStyle w:val="30"/>
          <w:rFonts w:hint="eastAsia" w:ascii="宋体" w:hAnsi="宋体" w:eastAsia="宋体" w:cs="宋体"/>
          <w:sz w:val="21"/>
          <w:szCs w:val="21"/>
          <w:lang w:val="en-US"/>
        </w:rPr>
        <w:instrText xml:space="preserve">GCP</w:instrText>
      </w:r>
      <w:r>
        <w:rPr>
          <w:rStyle w:val="30"/>
          <w:rFonts w:hint="eastAsia" w:ascii="宋体" w:hAnsi="宋体" w:eastAsia="宋体" w:cs="宋体"/>
          <w:sz w:val="21"/>
          <w:szCs w:val="21"/>
          <w:lang w:val="zh-CN"/>
        </w:rPr>
        <w:instrText xml:space="preserve">项目的安全性更新报告及</w:instrText>
      </w:r>
      <w:r>
        <w:rPr>
          <w:rStyle w:val="30"/>
          <w:rFonts w:hint="eastAsia" w:ascii="宋体" w:hAnsi="宋体" w:eastAsia="宋体" w:cs="宋体"/>
          <w:sz w:val="21"/>
          <w:szCs w:val="21"/>
          <w:lang w:val="en-US"/>
        </w:rPr>
        <w:instrText xml:space="preserve">7</w:instrText>
      </w:r>
      <w:r>
        <w:rPr>
          <w:rStyle w:val="30"/>
          <w:rFonts w:ascii="宋体" w:hAnsi="宋体" w:eastAsia="宋体" w:cs="宋体"/>
          <w:sz w:val="21"/>
          <w:szCs w:val="21"/>
          <w:lang w:val="en-US"/>
        </w:rPr>
        <w:instrText xml:space="preserve">/15</w:instrText>
      </w:r>
      <w:r>
        <w:rPr>
          <w:rStyle w:val="30"/>
          <w:rFonts w:hint="eastAsia" w:ascii="宋体" w:hAnsi="宋体" w:eastAsia="宋体" w:cs="宋体"/>
          <w:sz w:val="21"/>
          <w:szCs w:val="21"/>
        </w:rPr>
        <w:instrText xml:space="preserve">"</w:instrText>
      </w:r>
      <w:r>
        <w:rPr>
          <w:rStyle w:val="30"/>
          <w:rFonts w:ascii="宋体" w:hAnsi="宋体" w:eastAsia="宋体" w:cs="宋体"/>
          <w:sz w:val="21"/>
          <w:szCs w:val="21"/>
        </w:rPr>
        <w:instrText xml:space="preserve"> </w:instrText>
      </w:r>
      <w:r>
        <w:rPr>
          <w:rStyle w:val="30"/>
          <w:rFonts w:ascii="宋体" w:hAnsi="宋体" w:eastAsia="宋体" w:cs="宋体"/>
          <w:sz w:val="21"/>
          <w:szCs w:val="21"/>
        </w:rPr>
        <w:fldChar w:fldCharType="separate"/>
      </w:r>
      <w:r>
        <w:rPr>
          <w:rStyle w:val="10"/>
          <w:rFonts w:hint="eastAsia" w:ascii="宋体" w:hAnsi="宋体" w:eastAsia="宋体" w:cs="宋体"/>
          <w:sz w:val="21"/>
          <w:szCs w:val="21"/>
          <w:lang w:val="zh-CN"/>
        </w:rPr>
        <w:t>srrshec@</w:t>
      </w:r>
      <w:r>
        <w:rPr>
          <w:rStyle w:val="10"/>
          <w:rFonts w:hAnsi="宋体" w:eastAsia="宋体" w:cs="宋体"/>
          <w:sz w:val="21"/>
          <w:szCs w:val="21"/>
        </w:rPr>
        <w:t>vip.</w:t>
      </w:r>
      <w:r>
        <w:rPr>
          <w:rStyle w:val="10"/>
          <w:rFonts w:hint="eastAsia" w:ascii="宋体" w:hAnsi="宋体" w:eastAsia="宋体" w:cs="宋体"/>
          <w:sz w:val="21"/>
          <w:szCs w:val="21"/>
          <w:lang w:val="zh-CN"/>
        </w:rPr>
        <w:t>126.com（</w:t>
      </w:r>
      <w:r>
        <w:rPr>
          <w:rStyle w:val="10"/>
          <w:rFonts w:hint="eastAsia" w:hAnsi="宋体" w:eastAsia="宋体" w:cs="宋体"/>
          <w:sz w:val="21"/>
          <w:szCs w:val="21"/>
          <w:lang w:val="zh-CN"/>
        </w:rPr>
        <w:t>公共邮箱</w:t>
      </w:r>
      <w:r>
        <w:rPr>
          <w:rStyle w:val="10"/>
          <w:rFonts w:hint="eastAsia" w:ascii="宋体" w:hAnsi="宋体" w:eastAsia="宋体" w:cs="宋体"/>
          <w:sz w:val="21"/>
          <w:szCs w:val="21"/>
          <w:lang w:val="zh-CN"/>
        </w:rPr>
        <w:t>，</w:t>
      </w:r>
      <w:r>
        <w:rPr>
          <w:rStyle w:val="10"/>
          <w:rFonts w:hint="eastAsia" w:hAnsi="宋体" w:eastAsia="宋体" w:cs="宋体"/>
          <w:sz w:val="21"/>
          <w:szCs w:val="21"/>
          <w:lang w:val="zh-CN"/>
        </w:rPr>
        <w:t>仅用于接收线下</w:t>
      </w:r>
      <w:r>
        <w:rPr>
          <w:rStyle w:val="10"/>
          <w:rFonts w:hint="eastAsia" w:ascii="宋体" w:hAnsi="宋体" w:eastAsia="宋体" w:cs="宋体"/>
          <w:sz w:val="21"/>
          <w:szCs w:val="21"/>
          <w:lang w:val="zh-CN"/>
        </w:rPr>
        <w:t>GCP</w:t>
      </w:r>
      <w:r>
        <w:rPr>
          <w:rStyle w:val="10"/>
          <w:rFonts w:hint="eastAsia" w:hAnsi="宋体" w:eastAsia="宋体" w:cs="宋体"/>
          <w:sz w:val="21"/>
          <w:szCs w:val="21"/>
          <w:lang w:val="zh-CN"/>
        </w:rPr>
        <w:t>项目的安全性更新报告及</w:t>
      </w:r>
      <w:r>
        <w:rPr>
          <w:rStyle w:val="10"/>
          <w:rFonts w:hint="eastAsia" w:hAnsi="宋体" w:eastAsia="宋体" w:cs="宋体"/>
          <w:sz w:val="21"/>
          <w:szCs w:val="21"/>
          <w:lang w:val="en-US"/>
        </w:rPr>
        <w:t>7</w:t>
      </w:r>
      <w:r>
        <w:rPr>
          <w:rStyle w:val="10"/>
          <w:rFonts w:hAnsi="宋体" w:eastAsia="宋体" w:cs="宋体"/>
          <w:sz w:val="21"/>
          <w:szCs w:val="21"/>
          <w:lang w:val="en-US"/>
        </w:rPr>
        <w:t>/15</w:t>
      </w:r>
      <w:r>
        <w:rPr>
          <w:rStyle w:val="30"/>
          <w:rFonts w:ascii="宋体" w:hAnsi="宋体" w:eastAsia="宋体" w:cs="宋体"/>
          <w:sz w:val="21"/>
          <w:szCs w:val="21"/>
        </w:rPr>
        <w:fldChar w:fldCharType="end"/>
      </w:r>
      <w:r>
        <w:rPr>
          <w:rStyle w:val="30"/>
          <w:rFonts w:hint="eastAsia" w:ascii="宋体" w:hAnsi="宋体" w:eastAsia="宋体" w:cs="宋体"/>
          <w:sz w:val="21"/>
          <w:szCs w:val="21"/>
          <w:lang w:val="zh-CN"/>
        </w:rPr>
        <w:t>天个例</w:t>
      </w:r>
      <w:r>
        <w:rPr>
          <w:rStyle w:val="30"/>
          <w:rFonts w:hint="eastAsia" w:ascii="宋体" w:hAnsi="宋体" w:eastAsia="宋体" w:cs="宋体"/>
          <w:sz w:val="21"/>
          <w:szCs w:val="21"/>
          <w:lang w:val="en-US"/>
        </w:rPr>
        <w:t>SUSAR）</w:t>
      </w:r>
    </w:p>
    <w:p w14:paraId="0C04A224">
      <w:pPr>
        <w:pStyle w:val="36"/>
        <w:spacing w:after="0"/>
        <w:ind w:left="407"/>
        <w:rPr>
          <w:rStyle w:val="30"/>
          <w:rFonts w:ascii="宋体" w:hAnsi="宋体" w:eastAsia="宋体" w:cs="宋体"/>
          <w:sz w:val="21"/>
          <w:szCs w:val="21"/>
          <w:lang w:val="en-US"/>
        </w:rPr>
      </w:pPr>
    </w:p>
    <w:p w14:paraId="28CCFC99">
      <w:pPr>
        <w:rPr>
          <w:rStyle w:val="30"/>
          <w:rFonts w:ascii="宋体" w:hAnsi="宋体" w:eastAsia="宋体" w:cs="宋体"/>
          <w:sz w:val="21"/>
          <w:szCs w:val="21"/>
          <w:lang w:val="zh-CN"/>
        </w:rPr>
        <w:sectPr>
          <w:footerReference r:id="rId11" w:type="default"/>
          <w:footerReference r:id="rId12" w:type="even"/>
          <w:pgSz w:w="11906" w:h="16838"/>
          <w:pgMar w:top="1440" w:right="1800" w:bottom="1440" w:left="1800" w:header="851" w:footer="992" w:gutter="0"/>
          <w:pgNumType w:fmt="numberInDash" w:chapStyle="1"/>
          <w:cols w:space="720" w:num="1"/>
          <w:docGrid w:type="lines" w:linePitch="312" w:charSpace="0"/>
        </w:sectPr>
      </w:pPr>
    </w:p>
    <w:tbl>
      <w:tblPr>
        <w:tblStyle w:val="7"/>
        <w:tblW w:w="8476" w:type="dxa"/>
        <w:tblInd w:w="40" w:type="dxa"/>
        <w:tblLayout w:type="fixed"/>
        <w:tblCellMar>
          <w:top w:w="0" w:type="dxa"/>
          <w:left w:w="40" w:type="dxa"/>
          <w:bottom w:w="0" w:type="dxa"/>
          <w:right w:w="40" w:type="dxa"/>
        </w:tblCellMar>
      </w:tblPr>
      <w:tblGrid>
        <w:gridCol w:w="2340"/>
        <w:gridCol w:w="2934"/>
        <w:gridCol w:w="1241"/>
        <w:gridCol w:w="1961"/>
      </w:tblGrid>
      <w:tr w14:paraId="462E3213">
        <w:tblPrEx>
          <w:tblCellMar>
            <w:top w:w="0" w:type="dxa"/>
            <w:left w:w="40" w:type="dxa"/>
            <w:bottom w:w="0" w:type="dxa"/>
            <w:right w:w="40" w:type="dxa"/>
          </w:tblCellMar>
        </w:tblPrEx>
        <w:trPr>
          <w:trHeight w:val="517" w:hRule="atLeast"/>
        </w:trPr>
        <w:tc>
          <w:tcPr>
            <w:tcW w:w="5274" w:type="dxa"/>
            <w:gridSpan w:val="2"/>
            <w:vMerge w:val="restart"/>
            <w:tcBorders>
              <w:top w:val="single" w:color="auto" w:sz="6" w:space="0"/>
              <w:left w:val="single" w:color="auto" w:sz="6" w:space="0"/>
              <w:right w:val="single" w:color="auto" w:sz="6" w:space="0"/>
            </w:tcBorders>
            <w:vAlign w:val="center"/>
          </w:tcPr>
          <w:p w14:paraId="5B0331ED">
            <w:pPr>
              <w:pStyle w:val="13"/>
              <w:ind w:right="900" w:firstLine="360" w:firstLineChars="150"/>
              <w:jc w:val="center"/>
              <w:rPr>
                <w:rStyle w:val="14"/>
                <w:sz w:val="24"/>
                <w:szCs w:val="24"/>
                <w:lang w:val="zh-CN"/>
              </w:rPr>
            </w:pPr>
            <w:r>
              <w:rPr>
                <w:rStyle w:val="14"/>
                <w:rFonts w:hint="eastAsia"/>
                <w:sz w:val="24"/>
                <w:szCs w:val="24"/>
                <w:lang w:val="zh-CN"/>
              </w:rPr>
              <w:t>邵逸夫医院医学伦理委员会</w:t>
            </w:r>
            <w:r>
              <w:rPr>
                <w:rStyle w:val="14"/>
                <w:rFonts w:hint="eastAsia"/>
                <w:sz w:val="24"/>
                <w:szCs w:val="24"/>
              </w:rPr>
              <w:t>-</w:t>
            </w:r>
            <w:r>
              <w:rPr>
                <w:rStyle w:val="14"/>
                <w:rFonts w:hint="eastAsia"/>
                <w:sz w:val="24"/>
                <w:szCs w:val="24"/>
                <w:lang w:val="zh-CN"/>
              </w:rPr>
              <w:t>制度</w:t>
            </w:r>
          </w:p>
        </w:tc>
        <w:tc>
          <w:tcPr>
            <w:tcW w:w="1241" w:type="dxa"/>
            <w:tcBorders>
              <w:top w:val="single" w:color="auto" w:sz="6" w:space="0"/>
              <w:left w:val="single" w:color="auto" w:sz="6" w:space="0"/>
              <w:bottom w:val="nil"/>
              <w:right w:val="single" w:color="auto" w:sz="6" w:space="0"/>
            </w:tcBorders>
            <w:vAlign w:val="center"/>
          </w:tcPr>
          <w:p w14:paraId="249F41B8">
            <w:pPr>
              <w:pStyle w:val="13"/>
              <w:jc w:val="center"/>
              <w:rPr>
                <w:rStyle w:val="14"/>
                <w:sz w:val="20"/>
                <w:szCs w:val="20"/>
                <w:lang w:val="zh-CN"/>
              </w:rPr>
            </w:pPr>
            <w:r>
              <w:rPr>
                <w:rStyle w:val="14"/>
                <w:rFonts w:hint="eastAsia"/>
                <w:sz w:val="20"/>
                <w:szCs w:val="20"/>
                <w:lang w:val="zh-CN"/>
              </w:rPr>
              <w:t>文件编号</w:t>
            </w:r>
          </w:p>
        </w:tc>
        <w:tc>
          <w:tcPr>
            <w:tcW w:w="1961" w:type="dxa"/>
            <w:tcBorders>
              <w:top w:val="single" w:color="auto" w:sz="6" w:space="0"/>
              <w:left w:val="single" w:color="auto" w:sz="6" w:space="0"/>
              <w:right w:val="single" w:color="auto" w:sz="6" w:space="0"/>
            </w:tcBorders>
            <w:vAlign w:val="center"/>
          </w:tcPr>
          <w:p w14:paraId="0CA8E38C">
            <w:pPr>
              <w:pStyle w:val="15"/>
              <w:jc w:val="center"/>
              <w:rPr>
                <w:sz w:val="20"/>
                <w:szCs w:val="20"/>
              </w:rPr>
            </w:pPr>
            <w:r>
              <w:rPr>
                <w:rFonts w:hint="eastAsia"/>
                <w:sz w:val="20"/>
                <w:szCs w:val="20"/>
              </w:rPr>
              <w:t>IRB-ZN-02/</w:t>
            </w:r>
            <w:r>
              <w:rPr>
                <w:sz w:val="20"/>
                <w:szCs w:val="20"/>
              </w:rPr>
              <w:t>6</w:t>
            </w:r>
            <w:r>
              <w:rPr>
                <w:rFonts w:hint="eastAsia"/>
                <w:sz w:val="20"/>
                <w:szCs w:val="20"/>
              </w:rPr>
              <w:t>.0</w:t>
            </w:r>
          </w:p>
        </w:tc>
      </w:tr>
      <w:tr w14:paraId="49984882">
        <w:tblPrEx>
          <w:tblCellMar>
            <w:top w:w="0" w:type="dxa"/>
            <w:left w:w="40" w:type="dxa"/>
            <w:bottom w:w="0" w:type="dxa"/>
            <w:right w:w="40" w:type="dxa"/>
          </w:tblCellMar>
        </w:tblPrEx>
        <w:trPr>
          <w:trHeight w:val="291" w:hRule="atLeast"/>
        </w:trPr>
        <w:tc>
          <w:tcPr>
            <w:tcW w:w="5274" w:type="dxa"/>
            <w:gridSpan w:val="2"/>
            <w:vMerge w:val="continue"/>
            <w:tcBorders>
              <w:left w:val="single" w:color="auto" w:sz="6" w:space="0"/>
              <w:bottom w:val="single" w:color="auto" w:sz="6" w:space="0"/>
              <w:right w:val="single" w:color="auto" w:sz="6" w:space="0"/>
            </w:tcBorders>
            <w:vAlign w:val="center"/>
          </w:tcPr>
          <w:p w14:paraId="7543CFED">
            <w:pPr>
              <w:pStyle w:val="16"/>
              <w:jc w:val="center"/>
              <w:rPr>
                <w:sz w:val="20"/>
                <w:szCs w:val="20"/>
              </w:rPr>
            </w:pPr>
          </w:p>
        </w:tc>
        <w:tc>
          <w:tcPr>
            <w:tcW w:w="1241" w:type="dxa"/>
            <w:tcBorders>
              <w:top w:val="single" w:color="auto" w:sz="6" w:space="0"/>
              <w:left w:val="single" w:color="auto" w:sz="6" w:space="0"/>
              <w:bottom w:val="single" w:color="auto" w:sz="6" w:space="0"/>
              <w:right w:val="single" w:color="auto" w:sz="6" w:space="0"/>
            </w:tcBorders>
            <w:vAlign w:val="center"/>
          </w:tcPr>
          <w:p w14:paraId="458CACCF">
            <w:pPr>
              <w:pStyle w:val="13"/>
              <w:jc w:val="center"/>
              <w:rPr>
                <w:rStyle w:val="14"/>
                <w:sz w:val="20"/>
                <w:szCs w:val="20"/>
                <w:lang w:val="zh-CN"/>
              </w:rPr>
            </w:pPr>
            <w:r>
              <w:rPr>
                <w:rStyle w:val="14"/>
                <w:rFonts w:hint="eastAsia"/>
                <w:sz w:val="20"/>
                <w:szCs w:val="20"/>
                <w:lang w:val="zh-CN"/>
              </w:rPr>
              <w:t>版本号</w:t>
            </w:r>
          </w:p>
        </w:tc>
        <w:tc>
          <w:tcPr>
            <w:tcW w:w="1961" w:type="dxa"/>
            <w:tcBorders>
              <w:top w:val="single" w:color="auto" w:sz="6" w:space="0"/>
              <w:left w:val="single" w:color="auto" w:sz="6" w:space="0"/>
              <w:bottom w:val="single" w:color="auto" w:sz="6" w:space="0"/>
              <w:right w:val="single" w:color="auto" w:sz="6" w:space="0"/>
            </w:tcBorders>
            <w:vAlign w:val="center"/>
          </w:tcPr>
          <w:p w14:paraId="40CE68D3">
            <w:pPr>
              <w:pStyle w:val="15"/>
              <w:jc w:val="center"/>
              <w:rPr>
                <w:sz w:val="20"/>
                <w:szCs w:val="20"/>
              </w:rPr>
            </w:pPr>
            <w:r>
              <w:rPr>
                <w:sz w:val="20"/>
                <w:szCs w:val="20"/>
              </w:rPr>
              <w:t>6</w:t>
            </w:r>
            <w:r>
              <w:rPr>
                <w:rFonts w:hint="eastAsia"/>
                <w:sz w:val="20"/>
                <w:szCs w:val="20"/>
              </w:rPr>
              <w:t>.0</w:t>
            </w:r>
          </w:p>
        </w:tc>
      </w:tr>
      <w:tr w14:paraId="650E28A4">
        <w:tblPrEx>
          <w:tblCellMar>
            <w:top w:w="0" w:type="dxa"/>
            <w:left w:w="40" w:type="dxa"/>
            <w:bottom w:w="0" w:type="dxa"/>
            <w:right w:w="40" w:type="dxa"/>
          </w:tblCellMar>
        </w:tblPrEx>
        <w:trPr>
          <w:trHeight w:val="597" w:hRule="atLeast"/>
        </w:trPr>
        <w:tc>
          <w:tcPr>
            <w:tcW w:w="2340" w:type="dxa"/>
            <w:tcBorders>
              <w:top w:val="single" w:color="auto" w:sz="6" w:space="0"/>
              <w:left w:val="single" w:color="auto" w:sz="6" w:space="0"/>
              <w:bottom w:val="single" w:color="auto" w:sz="6" w:space="0"/>
              <w:right w:val="single" w:color="auto" w:sz="6" w:space="0"/>
            </w:tcBorders>
            <w:vAlign w:val="center"/>
          </w:tcPr>
          <w:p w14:paraId="7222859B">
            <w:pPr>
              <w:pStyle w:val="13"/>
              <w:ind w:right="437" w:firstLine="700" w:firstLineChars="350"/>
              <w:jc w:val="center"/>
              <w:rPr>
                <w:rStyle w:val="14"/>
                <w:sz w:val="20"/>
                <w:szCs w:val="20"/>
                <w:lang w:val="zh-CN"/>
              </w:rPr>
            </w:pPr>
            <w:r>
              <w:rPr>
                <w:rStyle w:val="14"/>
                <w:rFonts w:hint="eastAsia"/>
                <w:sz w:val="20"/>
                <w:szCs w:val="20"/>
                <w:lang w:val="zh-CN"/>
              </w:rPr>
              <w:t>编写者</w:t>
            </w:r>
          </w:p>
        </w:tc>
        <w:tc>
          <w:tcPr>
            <w:tcW w:w="2934" w:type="dxa"/>
            <w:tcBorders>
              <w:top w:val="single" w:color="auto" w:sz="6" w:space="0"/>
              <w:left w:val="single" w:color="auto" w:sz="6" w:space="0"/>
              <w:bottom w:val="single" w:color="auto" w:sz="6" w:space="0"/>
              <w:right w:val="single" w:color="auto" w:sz="6" w:space="0"/>
            </w:tcBorders>
            <w:vAlign w:val="center"/>
          </w:tcPr>
          <w:p w14:paraId="316C781B">
            <w:pPr>
              <w:pStyle w:val="16"/>
              <w:ind w:firstLine="1200" w:firstLineChars="600"/>
              <w:jc w:val="both"/>
              <w:rPr>
                <w:sz w:val="20"/>
                <w:szCs w:val="20"/>
              </w:rPr>
            </w:pPr>
            <w:r>
              <w:rPr>
                <w:rFonts w:hint="eastAsia"/>
                <w:sz w:val="20"/>
                <w:szCs w:val="20"/>
              </w:rPr>
              <w:t>许鸣、杨漾池</w:t>
            </w:r>
          </w:p>
        </w:tc>
        <w:tc>
          <w:tcPr>
            <w:tcW w:w="1241" w:type="dxa"/>
            <w:tcBorders>
              <w:top w:val="single" w:color="auto" w:sz="6" w:space="0"/>
              <w:left w:val="single" w:color="auto" w:sz="6" w:space="0"/>
              <w:bottom w:val="single" w:color="auto" w:sz="6" w:space="0"/>
              <w:right w:val="single" w:color="auto" w:sz="6" w:space="0"/>
            </w:tcBorders>
            <w:vAlign w:val="center"/>
          </w:tcPr>
          <w:p w14:paraId="294873C2">
            <w:pPr>
              <w:pStyle w:val="13"/>
              <w:jc w:val="center"/>
              <w:rPr>
                <w:rStyle w:val="14"/>
                <w:sz w:val="20"/>
                <w:szCs w:val="20"/>
                <w:lang w:val="zh-CN"/>
              </w:rPr>
            </w:pPr>
            <w:r>
              <w:rPr>
                <w:rFonts w:hint="eastAsia"/>
                <w:sz w:val="20"/>
                <w:szCs w:val="20"/>
                <w:lang w:val="zh-CN"/>
              </w:rPr>
              <w:t>版本日期</w:t>
            </w:r>
          </w:p>
        </w:tc>
        <w:tc>
          <w:tcPr>
            <w:tcW w:w="1961" w:type="dxa"/>
            <w:tcBorders>
              <w:top w:val="single" w:color="auto" w:sz="6" w:space="0"/>
              <w:left w:val="single" w:color="auto" w:sz="6" w:space="0"/>
              <w:bottom w:val="single" w:color="auto" w:sz="6" w:space="0"/>
              <w:right w:val="single" w:color="auto" w:sz="6" w:space="0"/>
            </w:tcBorders>
            <w:vAlign w:val="center"/>
          </w:tcPr>
          <w:p w14:paraId="5B8DAC0C">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8</w:t>
            </w:r>
            <w:r>
              <w:rPr>
                <w:rFonts w:hint="eastAsia"/>
                <w:sz w:val="20"/>
                <w:szCs w:val="20"/>
              </w:rPr>
              <w:t>-</w:t>
            </w:r>
            <w:r>
              <w:rPr>
                <w:sz w:val="20"/>
                <w:szCs w:val="20"/>
              </w:rPr>
              <w:t>15</w:t>
            </w:r>
          </w:p>
        </w:tc>
      </w:tr>
      <w:tr w14:paraId="3ED9F610">
        <w:tblPrEx>
          <w:tblCellMar>
            <w:top w:w="0" w:type="dxa"/>
            <w:left w:w="40" w:type="dxa"/>
            <w:bottom w:w="0" w:type="dxa"/>
            <w:right w:w="40" w:type="dxa"/>
          </w:tblCellMar>
        </w:tblPrEx>
        <w:trPr>
          <w:trHeight w:val="604" w:hRule="atLeast"/>
        </w:trPr>
        <w:tc>
          <w:tcPr>
            <w:tcW w:w="2340" w:type="dxa"/>
            <w:tcBorders>
              <w:top w:val="single" w:color="auto" w:sz="6" w:space="0"/>
              <w:left w:val="single" w:color="auto" w:sz="6" w:space="0"/>
              <w:bottom w:val="single" w:color="auto" w:sz="6" w:space="0"/>
              <w:right w:val="single" w:color="auto" w:sz="6" w:space="0"/>
            </w:tcBorders>
            <w:vAlign w:val="center"/>
          </w:tcPr>
          <w:p w14:paraId="6B3A0513">
            <w:pPr>
              <w:pStyle w:val="13"/>
              <w:ind w:right="435" w:firstLine="700" w:firstLineChars="350"/>
              <w:jc w:val="center"/>
              <w:rPr>
                <w:rStyle w:val="14"/>
                <w:sz w:val="20"/>
                <w:szCs w:val="20"/>
                <w:lang w:val="zh-CN"/>
              </w:rPr>
            </w:pPr>
            <w:r>
              <w:rPr>
                <w:rStyle w:val="14"/>
                <w:rFonts w:hint="eastAsia"/>
                <w:sz w:val="20"/>
                <w:szCs w:val="20"/>
                <w:lang w:val="zh-CN"/>
              </w:rPr>
              <w:t>审核者</w:t>
            </w:r>
          </w:p>
        </w:tc>
        <w:tc>
          <w:tcPr>
            <w:tcW w:w="2934" w:type="dxa"/>
            <w:tcBorders>
              <w:top w:val="single" w:color="auto" w:sz="6" w:space="0"/>
              <w:left w:val="single" w:color="auto" w:sz="6" w:space="0"/>
              <w:bottom w:val="single" w:color="auto" w:sz="6" w:space="0"/>
              <w:right w:val="single" w:color="auto" w:sz="6" w:space="0"/>
            </w:tcBorders>
            <w:vAlign w:val="center"/>
          </w:tcPr>
          <w:p w14:paraId="2BE1A084">
            <w:pPr>
              <w:pStyle w:val="16"/>
              <w:jc w:val="center"/>
              <w:rPr>
                <w:sz w:val="20"/>
                <w:szCs w:val="20"/>
              </w:rPr>
            </w:pPr>
            <w:r>
              <w:rPr>
                <w:rFonts w:hint="eastAsia"/>
                <w:sz w:val="20"/>
                <w:szCs w:val="20"/>
              </w:rPr>
              <w:t>王青青</w:t>
            </w:r>
          </w:p>
        </w:tc>
        <w:tc>
          <w:tcPr>
            <w:tcW w:w="1241" w:type="dxa"/>
            <w:tcBorders>
              <w:top w:val="single" w:color="auto" w:sz="6" w:space="0"/>
              <w:left w:val="single" w:color="auto" w:sz="6" w:space="0"/>
              <w:bottom w:val="single" w:color="auto" w:sz="6" w:space="0"/>
              <w:right w:val="single" w:color="auto" w:sz="6" w:space="0"/>
            </w:tcBorders>
            <w:vAlign w:val="center"/>
          </w:tcPr>
          <w:p w14:paraId="09D7B01D">
            <w:pPr>
              <w:pStyle w:val="13"/>
              <w:jc w:val="center"/>
              <w:rPr>
                <w:rStyle w:val="14"/>
                <w:sz w:val="20"/>
                <w:szCs w:val="20"/>
                <w:lang w:val="zh-CN"/>
              </w:rPr>
            </w:pPr>
            <w:r>
              <w:rPr>
                <w:rFonts w:hint="eastAsia"/>
                <w:sz w:val="20"/>
                <w:szCs w:val="20"/>
                <w:lang w:val="zh-CN"/>
              </w:rPr>
              <w:t>批准日期</w:t>
            </w:r>
          </w:p>
        </w:tc>
        <w:tc>
          <w:tcPr>
            <w:tcW w:w="1961" w:type="dxa"/>
            <w:tcBorders>
              <w:top w:val="single" w:color="auto" w:sz="6" w:space="0"/>
              <w:left w:val="single" w:color="auto" w:sz="6" w:space="0"/>
              <w:bottom w:val="single" w:color="auto" w:sz="6" w:space="0"/>
              <w:right w:val="single" w:color="auto" w:sz="6" w:space="0"/>
            </w:tcBorders>
            <w:vAlign w:val="center"/>
          </w:tcPr>
          <w:p w14:paraId="328BF8F1">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8</w:t>
            </w:r>
            <w:r>
              <w:rPr>
                <w:rFonts w:hint="eastAsia"/>
                <w:sz w:val="20"/>
                <w:szCs w:val="20"/>
              </w:rPr>
              <w:t>-</w:t>
            </w:r>
            <w:r>
              <w:rPr>
                <w:sz w:val="20"/>
                <w:szCs w:val="20"/>
              </w:rPr>
              <w:t>20</w:t>
            </w:r>
          </w:p>
        </w:tc>
      </w:tr>
      <w:tr w14:paraId="737D6535">
        <w:tblPrEx>
          <w:tblCellMar>
            <w:top w:w="0" w:type="dxa"/>
            <w:left w:w="40" w:type="dxa"/>
            <w:bottom w:w="0" w:type="dxa"/>
            <w:right w:w="40" w:type="dxa"/>
          </w:tblCellMar>
        </w:tblPrEx>
        <w:trPr>
          <w:trHeight w:val="612" w:hRule="atLeast"/>
        </w:trPr>
        <w:tc>
          <w:tcPr>
            <w:tcW w:w="2340" w:type="dxa"/>
            <w:tcBorders>
              <w:top w:val="single" w:color="auto" w:sz="6" w:space="0"/>
              <w:left w:val="single" w:color="auto" w:sz="6" w:space="0"/>
              <w:bottom w:val="single" w:color="auto" w:sz="6" w:space="0"/>
              <w:right w:val="single" w:color="auto" w:sz="6" w:space="0"/>
            </w:tcBorders>
            <w:vAlign w:val="center"/>
          </w:tcPr>
          <w:p w14:paraId="4AC1ACB6">
            <w:pPr>
              <w:pStyle w:val="13"/>
              <w:ind w:right="435" w:firstLine="700" w:firstLineChars="350"/>
              <w:jc w:val="center"/>
              <w:rPr>
                <w:rStyle w:val="14"/>
                <w:sz w:val="20"/>
                <w:szCs w:val="20"/>
                <w:lang w:val="zh-CN"/>
              </w:rPr>
            </w:pPr>
            <w:r>
              <w:rPr>
                <w:rStyle w:val="14"/>
                <w:rFonts w:hint="eastAsia"/>
                <w:sz w:val="20"/>
                <w:szCs w:val="20"/>
                <w:lang w:val="zh-CN"/>
              </w:rPr>
              <w:t>批准者</w:t>
            </w:r>
          </w:p>
        </w:tc>
        <w:tc>
          <w:tcPr>
            <w:tcW w:w="2934" w:type="dxa"/>
            <w:tcBorders>
              <w:top w:val="single" w:color="auto" w:sz="6" w:space="0"/>
              <w:left w:val="single" w:color="auto" w:sz="6" w:space="0"/>
              <w:bottom w:val="single" w:color="auto" w:sz="6" w:space="0"/>
              <w:right w:val="single" w:color="auto" w:sz="6" w:space="0"/>
            </w:tcBorders>
            <w:vAlign w:val="center"/>
          </w:tcPr>
          <w:p w14:paraId="030BA759">
            <w:pPr>
              <w:pStyle w:val="16"/>
              <w:jc w:val="center"/>
              <w:rPr>
                <w:sz w:val="20"/>
                <w:szCs w:val="20"/>
              </w:rPr>
            </w:pPr>
            <w:r>
              <w:rPr>
                <w:rFonts w:hint="eastAsia"/>
                <w:sz w:val="20"/>
                <w:szCs w:val="20"/>
              </w:rPr>
              <w:t>刘利民</w:t>
            </w:r>
          </w:p>
        </w:tc>
        <w:tc>
          <w:tcPr>
            <w:tcW w:w="1241" w:type="dxa"/>
            <w:tcBorders>
              <w:top w:val="single" w:color="auto" w:sz="6" w:space="0"/>
              <w:left w:val="single" w:color="auto" w:sz="6" w:space="0"/>
              <w:bottom w:val="single" w:color="auto" w:sz="6" w:space="0"/>
              <w:right w:val="single" w:color="auto" w:sz="6" w:space="0"/>
            </w:tcBorders>
            <w:vAlign w:val="center"/>
          </w:tcPr>
          <w:p w14:paraId="711FC404">
            <w:pPr>
              <w:pStyle w:val="13"/>
              <w:jc w:val="center"/>
              <w:rPr>
                <w:rStyle w:val="14"/>
                <w:sz w:val="20"/>
                <w:szCs w:val="20"/>
                <w:lang w:val="zh-CN"/>
              </w:rPr>
            </w:pPr>
            <w:r>
              <w:rPr>
                <w:rFonts w:hint="eastAsia"/>
                <w:sz w:val="20"/>
                <w:szCs w:val="20"/>
                <w:lang w:val="zh-CN"/>
              </w:rPr>
              <w:t>生效日期</w:t>
            </w:r>
          </w:p>
        </w:tc>
        <w:tc>
          <w:tcPr>
            <w:tcW w:w="1961" w:type="dxa"/>
            <w:tcBorders>
              <w:top w:val="single" w:color="auto" w:sz="6" w:space="0"/>
              <w:left w:val="single" w:color="auto" w:sz="6" w:space="0"/>
              <w:bottom w:val="single" w:color="auto" w:sz="6" w:space="0"/>
              <w:right w:val="single" w:color="auto" w:sz="6" w:space="0"/>
            </w:tcBorders>
            <w:vAlign w:val="center"/>
          </w:tcPr>
          <w:p w14:paraId="6AAFC09E">
            <w:pPr>
              <w:pStyle w:val="15"/>
              <w:jc w:val="center"/>
              <w:rPr>
                <w:rStyle w:val="17"/>
                <w:rFonts w:ascii="黑体" w:hAnsi="黑体" w:eastAsia="黑体"/>
                <w:b w:val="0"/>
                <w:sz w:val="20"/>
                <w:szCs w:val="20"/>
              </w:rPr>
            </w:pPr>
            <w:r>
              <w:rPr>
                <w:rFonts w:hint="eastAsia"/>
                <w:sz w:val="20"/>
                <w:szCs w:val="20"/>
              </w:rPr>
              <w:t>202</w:t>
            </w:r>
            <w:r>
              <w:rPr>
                <w:sz w:val="20"/>
                <w:szCs w:val="20"/>
              </w:rPr>
              <w:t>6</w:t>
            </w:r>
            <w:r>
              <w:rPr>
                <w:rFonts w:hint="eastAsia"/>
                <w:sz w:val="20"/>
                <w:szCs w:val="20"/>
              </w:rPr>
              <w:t>-0</w:t>
            </w:r>
            <w:r>
              <w:rPr>
                <w:sz w:val="20"/>
                <w:szCs w:val="20"/>
              </w:rPr>
              <w:t>9</w:t>
            </w:r>
            <w:r>
              <w:rPr>
                <w:rFonts w:hint="eastAsia"/>
                <w:sz w:val="20"/>
                <w:szCs w:val="20"/>
              </w:rPr>
              <w:t>-</w:t>
            </w:r>
            <w:r>
              <w:rPr>
                <w:sz w:val="20"/>
                <w:szCs w:val="20"/>
              </w:rPr>
              <w:t>01</w:t>
            </w:r>
          </w:p>
        </w:tc>
      </w:tr>
    </w:tbl>
    <w:p w14:paraId="2CA08D1A">
      <w:pPr>
        <w:pStyle w:val="32"/>
        <w:spacing w:line="346" w:lineRule="exact"/>
        <w:jc w:val="center"/>
        <w:rPr>
          <w:rStyle w:val="14"/>
          <w:rFonts w:ascii="宋体" w:hAnsi="宋体" w:eastAsia="宋体" w:cs="宋体"/>
          <w:sz w:val="13"/>
          <w:szCs w:val="13"/>
          <w:lang w:val="zh-CN"/>
        </w:rPr>
      </w:pPr>
    </w:p>
    <w:p w14:paraId="2651F92F">
      <w:pPr>
        <w:pStyle w:val="2"/>
        <w:rPr>
          <w:rStyle w:val="29"/>
          <w:rFonts w:ascii="宋体" w:hAnsi="宋体" w:eastAsia="宋体" w:cs="宋体"/>
          <w:b w:val="0"/>
          <w:bCs w:val="0"/>
          <w:kern w:val="0"/>
          <w:szCs w:val="28"/>
          <w:lang w:val="zh-CN"/>
        </w:rPr>
      </w:pPr>
      <w:bookmarkStart w:id="25" w:name="_Toc4334"/>
      <w:bookmarkStart w:id="26" w:name="_Toc14950"/>
      <w:bookmarkStart w:id="27" w:name="_Toc2575"/>
      <w:bookmarkStart w:id="28" w:name="_Toc26687"/>
      <w:bookmarkStart w:id="29" w:name="_Toc6885"/>
      <w:r>
        <w:rPr>
          <w:rFonts w:hint="eastAsia"/>
          <w:lang w:val="zh-CN"/>
        </w:rPr>
        <w:t>临床研究主要伦理问题的审查指南</w:t>
      </w:r>
      <w:bookmarkEnd w:id="25"/>
      <w:bookmarkEnd w:id="26"/>
      <w:bookmarkEnd w:id="27"/>
      <w:bookmarkEnd w:id="28"/>
      <w:bookmarkEnd w:id="29"/>
    </w:p>
    <w:p w14:paraId="31D158A4">
      <w:pPr>
        <w:pStyle w:val="32"/>
        <w:spacing w:line="346" w:lineRule="exact"/>
        <w:jc w:val="center"/>
        <w:rPr>
          <w:rStyle w:val="29"/>
          <w:rFonts w:ascii="宋体" w:hAnsi="宋体" w:eastAsia="宋体" w:cs="宋体"/>
          <w:sz w:val="28"/>
          <w:szCs w:val="28"/>
          <w:lang w:val="zh-CN"/>
        </w:rPr>
      </w:pPr>
    </w:p>
    <w:p w14:paraId="474259E1">
      <w:pPr>
        <w:pStyle w:val="32"/>
        <w:spacing w:line="346" w:lineRule="exact"/>
        <w:rPr>
          <w:rStyle w:val="14"/>
          <w:rFonts w:ascii="宋体" w:hAnsi="宋体" w:eastAsia="宋体" w:cs="宋体"/>
          <w:sz w:val="21"/>
          <w:szCs w:val="21"/>
          <w:lang w:val="zh-CN"/>
        </w:rPr>
      </w:pPr>
      <w:r>
        <w:rPr>
          <w:rStyle w:val="14"/>
          <w:rFonts w:hint="eastAsia" w:ascii="宋体" w:hAnsi="宋体" w:eastAsia="宋体" w:cs="宋体"/>
          <w:sz w:val="21"/>
          <w:szCs w:val="21"/>
          <w:lang w:val="zh-CN"/>
        </w:rPr>
        <w:t>涉及人的生物医学研究，包括对可辨认身份的人体组织或数据的研究中，伦理学上具合理性的基本特征有：该研究采用的方法所获取的资料是用其他方法无法获取的；研究设计科学合理，所用研究方法应合乎研究的目的并适用于研究阶段与研究领域；研究风险相对于预期受益是合理的；在研究的实施中尊重、保护和公平地对待</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，并且符合研究实施所在社会的道德规范；所有研究人员在教育和经验方面都有资格承担并胜任该项研究。</w:t>
      </w:r>
    </w:p>
    <w:p w14:paraId="577EDF75">
      <w:pPr>
        <w:pStyle w:val="32"/>
        <w:spacing w:line="346" w:lineRule="exact"/>
        <w:rPr>
          <w:rStyle w:val="14"/>
          <w:rFonts w:ascii="宋体" w:hAnsi="宋体" w:eastAsia="宋体" w:cs="宋体"/>
          <w:sz w:val="21"/>
          <w:szCs w:val="21"/>
          <w:lang w:val="zh-CN"/>
        </w:rPr>
      </w:pPr>
      <w:r>
        <w:rPr>
          <w:rStyle w:val="14"/>
          <w:rFonts w:hint="eastAsia" w:ascii="宋体" w:hAnsi="宋体" w:eastAsia="宋体" w:cs="宋体"/>
          <w:sz w:val="21"/>
          <w:szCs w:val="21"/>
          <w:lang w:val="zh-CN"/>
        </w:rPr>
        <w:t>临床研究的主要伦理问题包括：研究的科学设计与实施，研究的风险与受益，</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的招募，知情同意书告知的信息，知情同意的过程，</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的医疗和保护，隐私和保密，涉及弱势群体的研究，涉及妇女、孕妇的研究，国外机构发起的研究。</w:t>
      </w:r>
    </w:p>
    <w:p w14:paraId="394F79B9">
      <w:pPr>
        <w:pStyle w:val="32"/>
        <w:spacing w:line="346" w:lineRule="exact"/>
        <w:rPr>
          <w:rStyle w:val="14"/>
          <w:rFonts w:ascii="宋体" w:hAnsi="宋体" w:eastAsia="宋体" w:cs="宋体"/>
          <w:sz w:val="21"/>
          <w:szCs w:val="21"/>
          <w:lang w:val="zh-CN"/>
        </w:rPr>
      </w:pPr>
    </w:p>
    <w:p w14:paraId="38FD8F77">
      <w:pPr>
        <w:pStyle w:val="32"/>
        <w:spacing w:line="346" w:lineRule="exact"/>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第一章</w:t>
      </w:r>
      <w:r>
        <w:rPr>
          <w:rStyle w:val="14"/>
          <w:rFonts w:hint="eastAsia" w:ascii="宋体" w:hAnsi="宋体" w:eastAsia="宋体" w:cs="宋体"/>
          <w:sz w:val="28"/>
          <w:szCs w:val="28"/>
        </w:rPr>
        <w:t xml:space="preserve"> </w:t>
      </w:r>
      <w:r>
        <w:rPr>
          <w:rStyle w:val="14"/>
          <w:rFonts w:hint="eastAsia" w:ascii="宋体" w:hAnsi="宋体" w:eastAsia="宋体" w:cs="宋体"/>
          <w:sz w:val="28"/>
          <w:szCs w:val="28"/>
          <w:lang w:val="zh-CN"/>
        </w:rPr>
        <w:t>研究的科学设计与实施</w:t>
      </w:r>
    </w:p>
    <w:p w14:paraId="7275993A">
      <w:pPr>
        <w:pStyle w:val="32"/>
        <w:spacing w:after="0" w:line="240" w:lineRule="auto"/>
        <w:jc w:val="center"/>
        <w:rPr>
          <w:rStyle w:val="14"/>
          <w:rFonts w:ascii="宋体" w:hAnsi="宋体" w:eastAsia="宋体" w:cs="宋体"/>
          <w:sz w:val="21"/>
          <w:szCs w:val="21"/>
          <w:lang w:val="zh-CN"/>
        </w:rPr>
      </w:pPr>
    </w:p>
    <w:p w14:paraId="24842D79">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一、原则</w:t>
      </w:r>
    </w:p>
    <w:p w14:paraId="7DD147E8">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涉及人类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的医学研究必须遵循普遍接受的科学原则，必须建立在对科学文献和其他相关信息的全面了解的基础上，必须以充分的实验室研究和恰当的动物实验为基础。必须尊重研究中所使用的动物的福利。</w:t>
      </w:r>
    </w:p>
    <w:p w14:paraId="60C07E06">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只有受过恰当的科学训练并合格的人员才可以进行涉及人类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的医学研究。</w:t>
      </w:r>
    </w:p>
    <w:p w14:paraId="53AF9800">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在招募第一个</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之前，每一项临床试验都必须在公开可及的数据库中注册。</w:t>
      </w:r>
    </w:p>
    <w:p w14:paraId="12672074">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阴性结果、不能给出明确结论的结果和阳性结果均应发表或使其能公开可得。</w:t>
      </w:r>
    </w:p>
    <w:p w14:paraId="1954BD90">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二、审查要点</w:t>
      </w:r>
    </w:p>
    <w:p w14:paraId="62F8F25C">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1.研究依据</w:t>
      </w:r>
    </w:p>
    <w:p w14:paraId="0376A458">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研究的目标病症、效应指标、给药剂量、疗程等的设计：符合公认的科学原理并基于对科学文献、其他相关资料的充分了解，基于充分的实验室工作，必要时包括动物实验。</w:t>
      </w:r>
    </w:p>
    <w:p w14:paraId="798B6D2D">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研究具有科学价值和社会价值。将</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暴露于风险而没有可能受益的不科学的研究是不道德的。</w:t>
      </w:r>
    </w:p>
    <w:p w14:paraId="74E853CD">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2.研究设计</w:t>
      </w:r>
    </w:p>
    <w:p w14:paraId="0FE3D470">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所用研究方法合乎研究的目的并适用于所研究的阶段与领域。</w:t>
      </w:r>
    </w:p>
    <w:p w14:paraId="325994FF">
      <w:pPr>
        <w:pStyle w:val="32"/>
        <w:numPr>
          <w:ilvl w:val="0"/>
          <w:numId w:val="11"/>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明确的研究问题。</w:t>
      </w:r>
    </w:p>
    <w:p w14:paraId="31B5B8FA">
      <w:pPr>
        <w:pStyle w:val="32"/>
        <w:numPr>
          <w:ilvl w:val="0"/>
          <w:numId w:val="11"/>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研究阶段：探索性研究，确证性研究。Ⅰ期、Ⅱ期、Ⅲ期、Ⅳ期。</w:t>
      </w:r>
    </w:p>
    <w:p w14:paraId="23862D75">
      <w:pPr>
        <w:pStyle w:val="32"/>
        <w:numPr>
          <w:ilvl w:val="0"/>
          <w:numId w:val="11"/>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临床研究的两大领域：</w:t>
      </w:r>
    </w:p>
    <w:p w14:paraId="6D8AA4C9">
      <w:pPr>
        <w:pStyle w:val="32"/>
        <w:numPr>
          <w:ilvl w:val="0"/>
          <w:numId w:val="12"/>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实验性研究：随机对照研究，非随机对照研究。</w:t>
      </w:r>
    </w:p>
    <w:p w14:paraId="7AE0B790">
      <w:pPr>
        <w:pStyle w:val="32"/>
        <w:numPr>
          <w:ilvl w:val="0"/>
          <w:numId w:val="12"/>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观察性研究：有对照的分析性研究（队列研究，病例对照研究，横断面调</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），无对照的描述性研究。</w:t>
      </w:r>
    </w:p>
    <w:p w14:paraId="19EF1BF5">
      <w:pPr>
        <w:pStyle w:val="32"/>
        <w:numPr>
          <w:ilvl w:val="0"/>
          <w:numId w:val="1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样本量、随机、对照、盲法的设计</w:t>
      </w:r>
    </w:p>
    <w:p w14:paraId="0510373C">
      <w:pPr>
        <w:pStyle w:val="32"/>
        <w:numPr>
          <w:ilvl w:val="0"/>
          <w:numId w:val="1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样本量：样本量的计算及其依据；用最少的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人数获得可靠结论的可</w:t>
      </w:r>
    </w:p>
    <w:p w14:paraId="5A23B93C">
      <w:pPr>
        <w:pStyle w:val="32"/>
        <w:spacing w:after="0" w:line="240" w:lineRule="auto"/>
        <w:ind w:left="720" w:firstLine="72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能性。</w:t>
      </w:r>
    </w:p>
    <w:p w14:paraId="278614BB">
      <w:pPr>
        <w:pStyle w:val="32"/>
        <w:numPr>
          <w:ilvl w:val="0"/>
          <w:numId w:val="1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随机化分配：随机化是临床试验分配</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到各组别的首选方法，除非有另一种方法在科学或伦理上是合理的，如历史对照或文献对照。随机化治疗分配，除了它通常的科学性优势外，还具有使所有参加试验的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可预见的利益和风险均等的优点。但随机化分配可能使</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被剥夺已知的有效疗法而受到损害，特别是随机化对照研究中的试验干预措施是用于防止或推迟致命的、或致残的后果，此时，应通过风险最小化设计，制订相应的对策。</w:t>
      </w:r>
    </w:p>
    <w:p w14:paraId="5DD60CEB">
      <w:pPr>
        <w:pStyle w:val="32"/>
        <w:numPr>
          <w:ilvl w:val="0"/>
          <w:numId w:val="1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阳性对照的标准：①当前被证明的最佳干预措施。②经过随机盲法的临床研究，证明显著优于安慰剂的干预措施。（参见第一章“三、临床研究中对照的选择”）。</w:t>
      </w:r>
    </w:p>
    <w:p w14:paraId="77BA7C0B">
      <w:pPr>
        <w:pStyle w:val="32"/>
        <w:numPr>
          <w:ilvl w:val="0"/>
          <w:numId w:val="13"/>
        </w:numPr>
        <w:spacing w:after="0" w:line="240" w:lineRule="auto"/>
        <w:jc w:val="both"/>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人群的选择：代表目标人群，控制了混杂因素，排除高危人群。</w:t>
      </w:r>
    </w:p>
    <w:p w14:paraId="4835A8AF">
      <w:pPr>
        <w:pStyle w:val="32"/>
        <w:numPr>
          <w:ilvl w:val="0"/>
          <w:numId w:val="1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研究干预方案的设计。</w:t>
      </w:r>
    </w:p>
    <w:p w14:paraId="4D9510A0">
      <w:pPr>
        <w:pStyle w:val="32"/>
        <w:numPr>
          <w:ilvl w:val="0"/>
          <w:numId w:val="1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主要疗效指标和安全性指标的设计：可测量性，敏感性，临床相关性；替代指标与终点指标。</w:t>
      </w:r>
    </w:p>
    <w:p w14:paraId="6AAB95CD">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风险最小化设计</w:t>
      </w:r>
    </w:p>
    <w:p w14:paraId="539EC4D8">
      <w:pPr>
        <w:pStyle w:val="32"/>
        <w:numPr>
          <w:ilvl w:val="0"/>
          <w:numId w:val="1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预期风险：避免或最小化风险的措施，如纳入标准和排除标准对风险人群的限定，提前中止研究的标准，预期严重不良反应的处理方案与程序，紧急破盲的规定，对症处理的规定，叠加研究设计（研究性治疗的作用机理与标准治疗不同），等。</w:t>
      </w:r>
    </w:p>
    <w:p w14:paraId="0CF2777A">
      <w:pPr>
        <w:pStyle w:val="32"/>
        <w:numPr>
          <w:ilvl w:val="0"/>
          <w:numId w:val="1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未知风险：数据与安全监察的规定（参见第二章“五、数据与安全监察”</w:t>
      </w:r>
      <w:r>
        <w:rPr>
          <w:rStyle w:val="14"/>
          <w:rFonts w:hint="eastAsia" w:hAnsi="宋体" w:eastAsia="宋体" w:cs="宋体"/>
          <w:sz w:val="21"/>
          <w:szCs w:val="21"/>
          <w:lang w:val="zh-CN"/>
        </w:rPr>
        <w:t>）</w:t>
      </w:r>
      <w:r>
        <w:rPr>
          <w:rStyle w:val="14"/>
          <w:rFonts w:hint="eastAsia" w:ascii="宋体" w:hAnsi="宋体" w:eastAsia="宋体" w:cs="宋体"/>
          <w:sz w:val="21"/>
          <w:szCs w:val="21"/>
          <w:lang w:val="zh-CN"/>
        </w:rPr>
        <w:t>。</w:t>
      </w:r>
    </w:p>
    <w:p w14:paraId="4CDE311A">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3．研究实施</w:t>
      </w:r>
    </w:p>
    <w:p w14:paraId="030E8B9D">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3.1研究条件与研究人员</w:t>
      </w:r>
    </w:p>
    <w:p w14:paraId="600EBF5B">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医疗机构的设备和研究条件是否符合临床研究方案实施的要求。</w:t>
      </w:r>
    </w:p>
    <w:p w14:paraId="30CFDE2E">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主要研究者的资格、经验、是否有充分的时间参加临床研究。</w:t>
      </w:r>
    </w:p>
    <w:p w14:paraId="318B4635">
      <w:pPr>
        <w:pStyle w:val="32"/>
        <w:numPr>
          <w:ilvl w:val="0"/>
          <w:numId w:val="15"/>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主要研究者不得同时进行不同申办者相同品种的药品临床研究，并不得同时进行过多品种的临床研究</w:t>
      </w:r>
      <w:r>
        <w:rPr>
          <w:rStyle w:val="14"/>
          <w:rFonts w:hint="eastAsia" w:hAnsi="宋体" w:eastAsia="宋体" w:cs="宋体"/>
          <w:sz w:val="21"/>
          <w:szCs w:val="21"/>
          <w:lang w:val="zh-CN"/>
        </w:rPr>
        <w:t>（</w:t>
      </w:r>
      <w:r>
        <w:rPr>
          <w:rStyle w:val="14"/>
          <w:rFonts w:hint="eastAsia" w:ascii="宋体" w:hAnsi="宋体" w:eastAsia="宋体" w:cs="宋体"/>
          <w:sz w:val="21"/>
          <w:szCs w:val="21"/>
          <w:lang w:val="zh-CN"/>
        </w:rPr>
        <w:t>同时主持的药物临床试验项目和科研课题一般不超过3项）。</w:t>
      </w:r>
    </w:p>
    <w:p w14:paraId="47111B45">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研究团队的人员配备满足临床研究实施的需要，研究岗位与其资格相符。</w:t>
      </w:r>
    </w:p>
    <w:p w14:paraId="765012DC">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研究人员均经过GCP培训、</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保护的培训、利益冲突政策的培训，以及临床</w:t>
      </w:r>
    </w:p>
    <w:p w14:paraId="78F0783B">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研究方案与实施操作的培训。</w:t>
      </w:r>
    </w:p>
    <w:p w14:paraId="3C416871">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3.2利益冲突</w:t>
      </w:r>
    </w:p>
    <w:p w14:paraId="34509E61">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根据医院《研究利益冲突政策》的规定，审核研究人员的利益</w:t>
      </w:r>
      <w:r>
        <w:rPr>
          <w:rStyle w:val="14"/>
          <w:rFonts w:hint="eastAsia" w:hAnsi="宋体" w:eastAsia="宋体" w:cs="宋体"/>
          <w:sz w:val="21"/>
          <w:szCs w:val="21"/>
        </w:rPr>
        <w:t>冲突</w:t>
      </w:r>
      <w:r>
        <w:rPr>
          <w:rStyle w:val="14"/>
          <w:rFonts w:hint="eastAsia" w:ascii="宋体" w:hAnsi="宋体" w:eastAsia="宋体" w:cs="宋体"/>
          <w:sz w:val="21"/>
          <w:szCs w:val="21"/>
          <w:lang w:val="zh-CN"/>
        </w:rPr>
        <w:t>声明。</w:t>
      </w:r>
    </w:p>
    <w:p w14:paraId="13D8B539">
      <w:pPr>
        <w:pStyle w:val="32"/>
        <w:numPr>
          <w:ilvl w:val="0"/>
          <w:numId w:val="1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研究者“利益</w:t>
      </w:r>
      <w:r>
        <w:rPr>
          <w:rStyle w:val="14"/>
          <w:rFonts w:hint="eastAsia" w:hAnsi="宋体" w:eastAsia="宋体" w:cs="宋体"/>
          <w:sz w:val="21"/>
          <w:szCs w:val="21"/>
        </w:rPr>
        <w:t>冲突</w:t>
      </w:r>
      <w:r>
        <w:rPr>
          <w:rStyle w:val="14"/>
          <w:rFonts w:hint="eastAsia" w:ascii="宋体" w:hAnsi="宋体" w:eastAsia="宋体" w:cs="宋体"/>
          <w:sz w:val="21"/>
          <w:szCs w:val="21"/>
          <w:lang w:val="zh-CN"/>
        </w:rPr>
        <w:t>声明”报告的经济利益超过医生的月平均收入，可采取以下限制性措施：</w:t>
      </w:r>
    </w:p>
    <w:p w14:paraId="7BAD1835">
      <w:pPr>
        <w:pStyle w:val="32"/>
        <w:numPr>
          <w:ilvl w:val="0"/>
          <w:numId w:val="16"/>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向</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公开研究经济利益冲突。</w:t>
      </w:r>
    </w:p>
    <w:p w14:paraId="3A86948D">
      <w:pPr>
        <w:pStyle w:val="32"/>
        <w:numPr>
          <w:ilvl w:val="0"/>
          <w:numId w:val="16"/>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告知其他参与研究人员，任命独立的第三方监督研究。</w:t>
      </w:r>
    </w:p>
    <w:p w14:paraId="57FDC342">
      <w:pPr>
        <w:pStyle w:val="32"/>
        <w:numPr>
          <w:ilvl w:val="0"/>
          <w:numId w:val="16"/>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不允许在申办者处拥有净资产的人员担任主要研究者。</w:t>
      </w:r>
    </w:p>
    <w:p w14:paraId="3D38933E">
      <w:pPr>
        <w:pStyle w:val="32"/>
        <w:numPr>
          <w:ilvl w:val="0"/>
          <w:numId w:val="16"/>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不允许有重大经济利益冲突的研究者招募</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和获取知情同意。</w:t>
      </w:r>
    </w:p>
    <w:p w14:paraId="3E758A50">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3.3研究的公开</w:t>
      </w:r>
    </w:p>
    <w:p w14:paraId="3E480245">
      <w:pPr>
        <w:pStyle w:val="32"/>
        <w:numPr>
          <w:ilvl w:val="0"/>
          <w:numId w:val="17"/>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临床研究注册</w:t>
      </w:r>
    </w:p>
    <w:p w14:paraId="6B8BD76C">
      <w:pPr>
        <w:pStyle w:val="32"/>
        <w:numPr>
          <w:ilvl w:val="0"/>
          <w:numId w:val="18"/>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以人为对象的前瞻性、干预性临床研究，在招募首例</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之前完成临床研究注册。</w:t>
      </w:r>
    </w:p>
    <w:p w14:paraId="6ED43993">
      <w:pPr>
        <w:pStyle w:val="32"/>
        <w:numPr>
          <w:ilvl w:val="0"/>
          <w:numId w:val="18"/>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方案关于临床研究注册责任者的规定。</w:t>
      </w:r>
    </w:p>
    <w:p w14:paraId="5EB1B99B">
      <w:pPr>
        <w:pStyle w:val="32"/>
        <w:numPr>
          <w:ilvl w:val="0"/>
          <w:numId w:val="19"/>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研究结果的发表方式</w:t>
      </w:r>
    </w:p>
    <w:p w14:paraId="632A5D3A">
      <w:pPr>
        <w:pStyle w:val="32"/>
        <w:numPr>
          <w:ilvl w:val="0"/>
          <w:numId w:val="2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多中心临床研究，应在合同中规定谁拥有发表研究结果的权力，并规定报告研</w:t>
      </w:r>
    </w:p>
    <w:p w14:paraId="6B4765D1">
      <w:pPr>
        <w:pStyle w:val="32"/>
        <w:spacing w:after="0" w:line="240" w:lineRule="auto"/>
        <w:ind w:left="420" w:firstLine="72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究结果的文稿要与主要研究者一起准备、并服从主要研究者的意见。</w:t>
      </w:r>
    </w:p>
    <w:p w14:paraId="2D19E469">
      <w:pPr>
        <w:pStyle w:val="32"/>
        <w:numPr>
          <w:ilvl w:val="0"/>
          <w:numId w:val="2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在阴性结果的情况下，通过公开发表或向药品注册当局报告途径，以保证可以</w:t>
      </w:r>
    </w:p>
    <w:p w14:paraId="555C4FC2">
      <w:pPr>
        <w:pStyle w:val="32"/>
        <w:spacing w:after="0" w:line="240" w:lineRule="auto"/>
        <w:ind w:left="420" w:firstLine="72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得到这类结果。</w:t>
      </w:r>
    </w:p>
    <w:p w14:paraId="516CA77B">
      <w:pPr>
        <w:pStyle w:val="32"/>
        <w:numPr>
          <w:ilvl w:val="0"/>
          <w:numId w:val="2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可能被认为不适合发表研究发现的情况，如流行病学、社会学或遗传学研究的发现可能损害对社会、或人群、或以种族或民族定义的群体的利益。</w:t>
      </w:r>
    </w:p>
    <w:p w14:paraId="50620A00">
      <w:pPr>
        <w:pStyle w:val="32"/>
        <w:spacing w:after="0" w:line="240" w:lineRule="auto"/>
        <w:jc w:val="both"/>
        <w:rPr>
          <w:rStyle w:val="14"/>
          <w:rFonts w:ascii="宋体" w:hAnsi="宋体" w:eastAsia="宋体" w:cs="宋体"/>
          <w:sz w:val="21"/>
          <w:szCs w:val="21"/>
          <w:lang w:val="zh-CN"/>
        </w:rPr>
      </w:pPr>
    </w:p>
    <w:p w14:paraId="5C26868D">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三、临床研究中对照的选择</w:t>
      </w:r>
    </w:p>
    <w:p w14:paraId="4D04C649">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1.临床对照研究概论</w:t>
      </w:r>
    </w:p>
    <w:p w14:paraId="4B37AA0C">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为了获得可靠的结果，研究者必须将</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分配到研究组和对照组，比较研究干预与对照干预的效应。一般而言，诊断、治疗或预防性干预试验中对照组的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得到公认有效的干预。当研究目标是评价研究性干预措施的有效性和安全性时，使用安慰剂对照通常比阳性对照更能产生科学可靠的结果。在很多情况下，除非是安慰剂对照，否则难以区分是有效干预、还是无效干预（研究的分析灵敏度问题）。然而，如果使用安慰剂剥夺了对照组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接受公认有效干预的权利，因而使他们暴露于严重的损害，特别是如果损害是不可逆的,使用安慰剂显然是不道德的。</w:t>
      </w:r>
    </w:p>
    <w:p w14:paraId="31836BCC">
      <w:pPr>
        <w:pStyle w:val="32"/>
        <w:spacing w:after="0" w:line="240" w:lineRule="auto"/>
        <w:jc w:val="both"/>
        <w:rPr>
          <w:rStyle w:val="14"/>
          <w:rFonts w:ascii="宋体" w:hAnsi="宋体" w:eastAsia="宋体" w:cs="宋体"/>
          <w:sz w:val="21"/>
          <w:szCs w:val="21"/>
          <w:lang w:val="zh-CN"/>
        </w:rPr>
      </w:pPr>
    </w:p>
    <w:p w14:paraId="19CB37FF">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2.安慰剂或不予治疗对照的标准</w:t>
      </w:r>
    </w:p>
    <w:p w14:paraId="242FDEAC">
      <w:pPr>
        <w:pStyle w:val="32"/>
        <w:numPr>
          <w:ilvl w:val="0"/>
          <w:numId w:val="21"/>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在当前不存在被证明有效的干预措施的情况下。</w:t>
      </w:r>
    </w:p>
    <w:p w14:paraId="5B7E2654">
      <w:pPr>
        <w:pStyle w:val="32"/>
        <w:numPr>
          <w:ilvl w:val="0"/>
          <w:numId w:val="21"/>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当不采用公认有效的干预，至多使</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感到暂时的不适、或延迟症状的缓解时。</w:t>
      </w:r>
    </w:p>
    <w:p w14:paraId="1191470D">
      <w:pPr>
        <w:pStyle w:val="32"/>
        <w:numPr>
          <w:ilvl w:val="0"/>
          <w:numId w:val="21"/>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当采用一个公认有效的干预作为对照将会产生科学上不可靠的结果，出于令人信服的以及科学合理的方法学上的理由，使用安慰剂是确定一种干预措施的有效性或安全性所必须的，而且使用安慰剂或不予治疗不会使患者遭受任何严重的风险或不可逆的伤害。</w:t>
      </w:r>
    </w:p>
    <w:p w14:paraId="0D5F6BBB">
      <w:pPr>
        <w:pStyle w:val="32"/>
        <w:spacing w:after="0" w:line="240" w:lineRule="auto"/>
        <w:jc w:val="both"/>
        <w:rPr>
          <w:rStyle w:val="14"/>
          <w:rFonts w:ascii="宋体" w:hAnsi="宋体" w:eastAsia="宋体" w:cs="宋体"/>
          <w:sz w:val="21"/>
          <w:szCs w:val="21"/>
          <w:lang w:val="zh-CN"/>
        </w:rPr>
      </w:pPr>
    </w:p>
    <w:p w14:paraId="20B4ACA4">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3.缺乏当前有效的替代干预时的安慰剂对照</w:t>
      </w:r>
    </w:p>
    <w:p w14:paraId="4E4FE2E6">
      <w:pPr>
        <w:pStyle w:val="32"/>
        <w:numPr>
          <w:ilvl w:val="0"/>
          <w:numId w:val="22"/>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当处于赫尔辛基宣言所述"缺乏已被证明的预防、诊断或治疗方法"的情况，临床试验的对照组使用安慰剂在伦理上是可接受的。通常在这种情况下，安慰剂比不干预更科学。</w:t>
      </w:r>
    </w:p>
    <w:p w14:paraId="69C06ACB">
      <w:pPr>
        <w:pStyle w:val="32"/>
        <w:numPr>
          <w:ilvl w:val="0"/>
          <w:numId w:val="2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某种情况下，如果一种替代的设计方法既科学，又在伦理上是可接受的，可能是更可取的研究设计，例如：</w:t>
      </w:r>
    </w:p>
    <w:p w14:paraId="15CDD467">
      <w:pPr>
        <w:pStyle w:val="32"/>
        <w:numPr>
          <w:ilvl w:val="0"/>
          <w:numId w:val="2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外科手术的临床试验：对于许多外科手术干预，设计一个合适的安慰剂是不可</w:t>
      </w:r>
    </w:p>
    <w:p w14:paraId="145A210D">
      <w:pPr>
        <w:pStyle w:val="32"/>
        <w:spacing w:after="0" w:line="240" w:lineRule="auto"/>
        <w:ind w:left="420" w:firstLine="72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能的，或在伦理上是不被接受的。</w:t>
      </w:r>
    </w:p>
    <w:p w14:paraId="60B2BAF3">
      <w:pPr>
        <w:pStyle w:val="32"/>
        <w:numPr>
          <w:ilvl w:val="0"/>
          <w:numId w:val="2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某些疫苗试验：研究者可为对照组选择一个和研究疫苗无关的疫苗。</w:t>
      </w:r>
    </w:p>
    <w:p w14:paraId="43BAE434">
      <w:pPr>
        <w:pStyle w:val="32"/>
        <w:spacing w:after="0" w:line="240" w:lineRule="auto"/>
        <w:jc w:val="both"/>
        <w:rPr>
          <w:rStyle w:val="14"/>
          <w:rFonts w:ascii="宋体" w:hAnsi="宋体" w:eastAsia="宋体" w:cs="宋体"/>
          <w:sz w:val="21"/>
          <w:szCs w:val="21"/>
          <w:lang w:val="zh-CN"/>
        </w:rPr>
      </w:pPr>
    </w:p>
    <w:p w14:paraId="73D17641">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4.仅伴随较小风险的安慰剂对照</w:t>
      </w:r>
    </w:p>
    <w:p w14:paraId="45B293E0">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研究干预针对的病情相对较轻，不采用公认有效干预措施的风险确实很小而且很短暂安慰剂对照设计在伦理上是可接受的，从科学依据上更可取。例如：</w:t>
      </w:r>
    </w:p>
    <w:p w14:paraId="6EDFC061">
      <w:pPr>
        <w:pStyle w:val="32"/>
        <w:numPr>
          <w:ilvl w:val="0"/>
          <w:numId w:val="2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安慰剂或阳性治疗仅在生理测量上产生一个小的差别，如血压轻微增高、或血清胆固醇轻度增加。</w:t>
      </w:r>
    </w:p>
    <w:p w14:paraId="18E4386F">
      <w:pPr>
        <w:pStyle w:val="32"/>
        <w:numPr>
          <w:ilvl w:val="0"/>
          <w:numId w:val="25"/>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延迟治疗、或不治疗仅导致暂时的不适（例如，普通头痛），并没有严重不良后果。</w:t>
      </w:r>
    </w:p>
    <w:p w14:paraId="0655C315">
      <w:pPr>
        <w:pStyle w:val="32"/>
        <w:spacing w:after="0" w:line="240" w:lineRule="auto"/>
        <w:jc w:val="both"/>
        <w:rPr>
          <w:rStyle w:val="14"/>
          <w:rFonts w:ascii="宋体" w:hAnsi="宋体" w:eastAsia="宋体" w:cs="宋体"/>
          <w:sz w:val="21"/>
          <w:szCs w:val="21"/>
          <w:lang w:val="zh-CN"/>
        </w:rPr>
      </w:pPr>
    </w:p>
    <w:p w14:paraId="2329BE6B">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5.当阳性对照不能产生可靠结果时的安慰剂对照</w:t>
      </w:r>
    </w:p>
    <w:p w14:paraId="137AD4C8">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当阳性对照不能产生可靠结果时使用安慰剂对照，必须同时满足以下两个条件，在伦理上才是可被接受的：</w:t>
      </w:r>
    </w:p>
    <w:p w14:paraId="6A41C230">
      <w:pPr>
        <w:pStyle w:val="32"/>
        <w:numPr>
          <w:ilvl w:val="0"/>
          <w:numId w:val="26"/>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文献经验证明公认有效的干预措施不足以为研究干预措施提供科学可靠的对比</w:t>
      </w:r>
    </w:p>
    <w:p w14:paraId="77C39ADA">
      <w:pPr>
        <w:pStyle w:val="32"/>
        <w:spacing w:after="0" w:line="240" w:lineRule="auto"/>
        <w:jc w:val="both"/>
        <w:rPr>
          <w:rStyle w:val="14"/>
          <w:rFonts w:ascii="宋体" w:hAnsi="宋体" w:eastAsia="宋体" w:cs="宋体"/>
          <w:sz w:val="21"/>
          <w:szCs w:val="21"/>
          <w:lang w:val="zh-CN"/>
        </w:rPr>
      </w:pPr>
      <w:r>
        <w:rPr>
          <w:rStyle w:val="14"/>
          <w:rFonts w:hint="eastAsia" w:hAnsi="宋体" w:eastAsia="宋体" w:cs="宋体"/>
          <w:sz w:val="21"/>
          <w:szCs w:val="21"/>
          <w:lang w:val="zh-CN"/>
        </w:rPr>
        <w:t>（</w:t>
      </w:r>
      <w:r>
        <w:rPr>
          <w:rStyle w:val="14"/>
          <w:rFonts w:hint="eastAsia" w:ascii="宋体" w:hAnsi="宋体" w:eastAsia="宋体" w:cs="宋体"/>
          <w:sz w:val="21"/>
          <w:szCs w:val="21"/>
          <w:lang w:val="zh-CN"/>
        </w:rPr>
        <w:t>例如，没有经过随机、对照的临床试验证明显著优于安慰剂的上市药物</w:t>
      </w:r>
      <w:r>
        <w:rPr>
          <w:rStyle w:val="14"/>
          <w:rFonts w:hint="eastAsia" w:hAnsi="宋体" w:eastAsia="宋体" w:cs="宋体"/>
          <w:sz w:val="21"/>
          <w:szCs w:val="21"/>
          <w:lang w:val="zh-CN"/>
        </w:rPr>
        <w:t>）</w:t>
      </w:r>
    </w:p>
    <w:p w14:paraId="2618A139">
      <w:pPr>
        <w:pStyle w:val="32"/>
        <w:numPr>
          <w:ilvl w:val="0"/>
          <w:numId w:val="27"/>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釆用安慰剂对照不会增加</w:t>
      </w:r>
      <w:r>
        <w:rPr>
          <w:rStyle w:val="14"/>
          <w:rFonts w:hint="eastAsia" w:hAnsi="宋体" w:eastAsia="宋体" w:cs="宋体"/>
          <w:sz w:val="21"/>
          <w:szCs w:val="21"/>
          <w:lang w:val="zh-CN"/>
        </w:rPr>
        <w:t>试验参与者</w:t>
      </w:r>
      <w:r>
        <w:rPr>
          <w:rStyle w:val="14"/>
          <w:rFonts w:hint="eastAsia" w:ascii="宋体" w:hAnsi="宋体" w:eastAsia="宋体" w:cs="宋体"/>
          <w:sz w:val="21"/>
          <w:szCs w:val="21"/>
          <w:lang w:val="zh-CN"/>
        </w:rPr>
        <w:t>严重损害、特别是不可逆损害的风险。</w:t>
      </w:r>
    </w:p>
    <w:p w14:paraId="19EDBD49">
      <w:pPr>
        <w:pStyle w:val="32"/>
        <w:spacing w:after="0" w:line="240" w:lineRule="auto"/>
        <w:ind w:firstLine="518" w:firstLineChars="247"/>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假如干预所针对的情况非常严重（如癌症或HIV/AIDS），不能剥夺对照组中</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使用公认有效的干预措施。</w:t>
      </w:r>
    </w:p>
    <w:p w14:paraId="50834820">
      <w:pPr>
        <w:pStyle w:val="32"/>
        <w:spacing w:after="0" w:line="240" w:lineRule="auto"/>
        <w:ind w:firstLine="518" w:firstLineChars="247"/>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当缩短安慰剂的使用时间，以及研究设计允许在无法忍受的症状发生时改用阳性</w:t>
      </w:r>
      <w:r>
        <w:rPr>
          <w:rStyle w:val="14"/>
          <w:rFonts w:hint="eastAsia" w:hAnsi="宋体" w:eastAsia="宋体" w:cs="宋体"/>
          <w:sz w:val="21"/>
          <w:szCs w:val="21"/>
          <w:lang w:val="zh-CN"/>
        </w:rPr>
        <w:t>治疗</w:t>
      </w:r>
      <w:r>
        <w:rPr>
          <w:rStyle w:val="14"/>
          <w:rFonts w:hint="eastAsia" w:ascii="宋体" w:hAnsi="宋体" w:eastAsia="宋体" w:cs="宋体"/>
          <w:sz w:val="21"/>
          <w:szCs w:val="21"/>
          <w:lang w:val="zh-CN"/>
        </w:rPr>
        <w:t>（避害性治疗，escape treatment)，增加了这种安慰剂对照研究在伦理学上的可接受性。</w:t>
      </w:r>
    </w:p>
    <w:p w14:paraId="5772CCB7">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伦理委员会应确信</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的安全与权利得到充分地保护，可能的</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对象被充分告知了可替代的治疗方法，以及研究的目的和设计是科学合理的。</w:t>
      </w:r>
    </w:p>
    <w:p w14:paraId="6A246131">
      <w:pPr>
        <w:pStyle w:val="32"/>
        <w:spacing w:after="0" w:line="240" w:lineRule="auto"/>
        <w:jc w:val="both"/>
        <w:rPr>
          <w:rStyle w:val="14"/>
          <w:rFonts w:ascii="宋体" w:hAnsi="宋体" w:eastAsia="宋体" w:cs="宋体"/>
          <w:sz w:val="21"/>
          <w:szCs w:val="21"/>
          <w:lang w:val="zh-CN"/>
        </w:rPr>
      </w:pPr>
    </w:p>
    <w:p w14:paraId="10B19767">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6.等效性试验，作为安慰剂对照试验的替代</w:t>
      </w:r>
    </w:p>
    <w:p w14:paraId="080A14E7">
      <w:pPr>
        <w:pStyle w:val="32"/>
        <w:numPr>
          <w:ilvl w:val="0"/>
          <w:numId w:val="28"/>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安慰剂对照设计的替代研究方法可以是"等效性试验"，将研究干预措施与公认</w:t>
      </w:r>
    </w:p>
    <w:p w14:paraId="05D0842A">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有效的干预措施对比而产生科学可靠的数据。</w:t>
      </w:r>
    </w:p>
    <w:p w14:paraId="2B6AF31C">
      <w:pPr>
        <w:pStyle w:val="32"/>
        <w:numPr>
          <w:ilvl w:val="0"/>
          <w:numId w:val="28"/>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等效性试验设计不是为了判断研究干预是否优于公认有效的干预；其目的是判断</w:t>
      </w:r>
    </w:p>
    <w:p w14:paraId="40FD4753">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研究干预措施的有效性和安全性与公认有效的干预措施是否相等或几乎相等。</w:t>
      </w:r>
    </w:p>
    <w:p w14:paraId="4FA5FFF0">
      <w:pPr>
        <w:pStyle w:val="32"/>
        <w:numPr>
          <w:ilvl w:val="0"/>
          <w:numId w:val="28"/>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然而，与公认有效的干预措施相比等效或几乎等效的研究干预措施，比没有干预</w:t>
      </w:r>
    </w:p>
    <w:p w14:paraId="2E586A4A">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好，或优于其他干预措施，得出这样的结论是危险的。</w:t>
      </w:r>
    </w:p>
    <w:p w14:paraId="10F25308">
      <w:pPr>
        <w:pStyle w:val="32"/>
        <w:numPr>
          <w:ilvl w:val="0"/>
          <w:numId w:val="2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阳性对照药物的有效性是基于其随机盲法安慰剂对照临床试验的结果。如果等效性试验设计与该研究的条件不同，如诊断标准，纳入人群的疾病程度，合并疾病，干预药物的剂量和疗程，主要疗效指标及其观测时点和测量方法等，得出试验药物与阳性药物同样有效的结论可能是不科学的。</w:t>
      </w:r>
    </w:p>
    <w:p w14:paraId="3B680B96">
      <w:pPr>
        <w:pStyle w:val="32"/>
        <w:numPr>
          <w:ilvl w:val="0"/>
          <w:numId w:val="2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不同国家、地区、机构进行的临床试验，其结果表面相同，实际可能因为研究实施环境的不同，导致其结果有相当大的差异。</w:t>
      </w:r>
    </w:p>
    <w:p w14:paraId="21913D61">
      <w:pPr>
        <w:pStyle w:val="32"/>
        <w:spacing w:after="0" w:line="240" w:lineRule="auto"/>
        <w:jc w:val="both"/>
        <w:rPr>
          <w:rStyle w:val="14"/>
          <w:rFonts w:ascii="宋体" w:hAnsi="宋体" w:eastAsia="宋体" w:cs="宋体"/>
          <w:sz w:val="21"/>
          <w:szCs w:val="21"/>
          <w:lang w:val="zh-CN"/>
        </w:rPr>
      </w:pPr>
    </w:p>
    <w:p w14:paraId="5BEC7B71">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7.安慰剂对照，</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损害最小化方法</w:t>
      </w:r>
    </w:p>
    <w:p w14:paraId="1A4889A7">
      <w:pPr>
        <w:pStyle w:val="32"/>
        <w:numPr>
          <w:ilvl w:val="0"/>
          <w:numId w:val="28"/>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如果伦理委员会审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认为安慰剂对照是合理的，还应</w:t>
      </w:r>
      <w:r>
        <w:rPr>
          <w:rStyle w:val="14"/>
          <w:rFonts w:hint="eastAsia" w:hAnsi="宋体" w:eastAsia="宋体" w:cs="宋体"/>
          <w:sz w:val="21"/>
          <w:szCs w:val="21"/>
          <w:lang w:val="zh-CN"/>
        </w:rPr>
        <w:t>确保</w:t>
      </w:r>
      <w:r>
        <w:rPr>
          <w:rStyle w:val="14"/>
          <w:rFonts w:hint="eastAsia" w:ascii="宋体" w:hAnsi="宋体" w:eastAsia="宋体" w:cs="宋体"/>
          <w:sz w:val="21"/>
          <w:szCs w:val="21"/>
          <w:lang w:val="zh-CN"/>
        </w:rPr>
        <w:t>风险已在可能的范围内最小化。安慰剂对照可能有的损害效应最小化的方法包括（但不限于）：</w:t>
      </w:r>
    </w:p>
    <w:p w14:paraId="6BD578D9">
      <w:pPr>
        <w:pStyle w:val="32"/>
        <w:numPr>
          <w:ilvl w:val="0"/>
          <w:numId w:val="29"/>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叠加设计 (add-on design)，在标准治疗基础上，加上试验治疗和安慰剂。这类研究的特定场合是：</w:t>
      </w:r>
    </w:p>
    <w:p w14:paraId="778A0AF9">
      <w:pPr>
        <w:pStyle w:val="32"/>
        <w:numPr>
          <w:ilvl w:val="0"/>
          <w:numId w:val="2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研究性治疗的作用机理与标准治疗不同时。</w:t>
      </w:r>
    </w:p>
    <w:p w14:paraId="05D3F343">
      <w:pPr>
        <w:pStyle w:val="32"/>
        <w:numPr>
          <w:ilvl w:val="0"/>
          <w:numId w:val="2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已知标准治疗可以减少死亡率或不可逆损害的发病率，但试验采用标准治疗作</w:t>
      </w:r>
    </w:p>
    <w:p w14:paraId="2F280E1C">
      <w:pPr>
        <w:pStyle w:val="32"/>
        <w:spacing w:after="0" w:line="240" w:lineRule="auto"/>
        <w:ind w:left="420" w:firstLine="72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阳性对照则难以实施，或难以做出解释时。</w:t>
      </w:r>
    </w:p>
    <w:p w14:paraId="2EB20790">
      <w:pPr>
        <w:pStyle w:val="32"/>
        <w:numPr>
          <w:ilvl w:val="0"/>
          <w:numId w:val="3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方案应明确规定标准治疗方案，保证组间基线的一致性。</w:t>
      </w:r>
    </w:p>
    <w:p w14:paraId="7ED8EC69">
      <w:pPr>
        <w:pStyle w:val="32"/>
        <w:numPr>
          <w:ilvl w:val="0"/>
          <w:numId w:val="31"/>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数据与安全监察</w:t>
      </w:r>
    </w:p>
    <w:p w14:paraId="62F274D3">
      <w:pPr>
        <w:pStyle w:val="32"/>
        <w:numPr>
          <w:ilvl w:val="0"/>
          <w:numId w:val="32"/>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当随机化对照试验中的试验干预措施是用于防止或推迟致命的、或残疾的后果，研究者在研究方案中规定一个独立的数据和安全监察委员会（DSMB)负责监察研究数据，使安慰剂对照研究的有害效应最小化。</w:t>
      </w:r>
    </w:p>
    <w:p w14:paraId="0A78A616">
      <w:pPr>
        <w:pStyle w:val="32"/>
        <w:numPr>
          <w:ilvl w:val="0"/>
          <w:numId w:val="32"/>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该委员会的一个职责是保护</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避免以往未知的不良反应，另一个职责是避免不必要地长时间接受疗效较差的治疗。</w:t>
      </w:r>
    </w:p>
    <w:p w14:paraId="51884EE4">
      <w:pPr>
        <w:pStyle w:val="32"/>
        <w:numPr>
          <w:ilvl w:val="0"/>
          <w:numId w:val="3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提前中止：是指发生以下情况时，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 xml:space="preserve">应及时撤出临床试验： </w:t>
      </w:r>
    </w:p>
    <w:p w14:paraId="754763CE">
      <w:pPr>
        <w:pStyle w:val="32"/>
        <w:numPr>
          <w:ilvl w:val="0"/>
          <w:numId w:val="3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临床病情恶化。</w:t>
      </w:r>
    </w:p>
    <w:p w14:paraId="4ECCD404">
      <w:pPr>
        <w:pStyle w:val="32"/>
        <w:numPr>
          <w:ilvl w:val="0"/>
          <w:numId w:val="3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症状改善未达到预定的水平。</w:t>
      </w:r>
    </w:p>
    <w:p w14:paraId="22EE72CC">
      <w:pPr>
        <w:pStyle w:val="32"/>
        <w:numPr>
          <w:ilvl w:val="0"/>
          <w:numId w:val="3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出现研究干预措施预期可以防止的异常病症。</w:t>
      </w:r>
    </w:p>
    <w:p w14:paraId="30B6D1AE">
      <w:pPr>
        <w:pStyle w:val="32"/>
        <w:numPr>
          <w:ilvl w:val="0"/>
          <w:numId w:val="3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出现新的并发症等情况，需要其他的治疗。</w:t>
      </w:r>
    </w:p>
    <w:p w14:paraId="7096C451">
      <w:pPr>
        <w:pStyle w:val="32"/>
        <w:spacing w:after="0" w:line="240" w:lineRule="auto"/>
        <w:ind w:firstLine="0"/>
        <w:jc w:val="both"/>
        <w:rPr>
          <w:rStyle w:val="14"/>
          <w:rFonts w:ascii="宋体" w:hAnsi="宋体" w:eastAsia="宋体" w:cs="宋体"/>
          <w:sz w:val="21"/>
          <w:szCs w:val="21"/>
          <w:lang w:val="zh-CN"/>
        </w:rPr>
      </w:pPr>
      <w:r>
        <w:rPr>
          <w:rStyle w:val="14"/>
          <w:rFonts w:hint="eastAsia" w:hAnsi="宋体" w:eastAsia="宋体" w:cs="宋体"/>
          <w:sz w:val="21"/>
          <w:szCs w:val="21"/>
        </w:rPr>
        <w:t xml:space="preserve">    </w:t>
      </w:r>
      <w:r>
        <w:rPr>
          <w:rStyle w:val="14"/>
          <w:rFonts w:hint="eastAsia" w:ascii="宋体" w:hAnsi="宋体" w:eastAsia="宋体" w:cs="宋体"/>
          <w:sz w:val="21"/>
          <w:szCs w:val="21"/>
          <w:lang w:val="zh-CN"/>
        </w:rPr>
        <w:t>应事先设定“提前中止”情况的判断标准，并且测定的时间应当保证病情未得到良好控制时不至于没有阳性药物进行治疗。</w:t>
      </w:r>
    </w:p>
    <w:p w14:paraId="62F65BE6">
      <w:pPr>
        <w:pStyle w:val="32"/>
        <w:spacing w:after="0" w:line="240" w:lineRule="auto"/>
        <w:rPr>
          <w:rStyle w:val="14"/>
          <w:rFonts w:ascii="宋体" w:hAnsi="宋体" w:eastAsia="宋体" w:cs="宋体"/>
          <w:sz w:val="21"/>
          <w:szCs w:val="21"/>
          <w:lang w:val="zh-CN"/>
        </w:rPr>
      </w:pPr>
    </w:p>
    <w:p w14:paraId="203065CA">
      <w:pPr>
        <w:pStyle w:val="32"/>
        <w:spacing w:after="0" w:line="240" w:lineRule="auto"/>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第二章</w:t>
      </w:r>
      <w:r>
        <w:rPr>
          <w:rStyle w:val="14"/>
          <w:rFonts w:hint="eastAsia" w:ascii="宋体" w:hAnsi="宋体" w:eastAsia="宋体" w:cs="宋体"/>
          <w:sz w:val="28"/>
          <w:szCs w:val="28"/>
        </w:rPr>
        <w:t xml:space="preserve"> </w:t>
      </w:r>
      <w:r>
        <w:rPr>
          <w:rStyle w:val="14"/>
          <w:rFonts w:hint="eastAsia" w:ascii="宋体" w:hAnsi="宋体" w:eastAsia="宋体" w:cs="宋体"/>
          <w:sz w:val="28"/>
          <w:szCs w:val="28"/>
          <w:lang w:val="zh-CN"/>
        </w:rPr>
        <w:t>研究的风险与受益</w:t>
      </w:r>
    </w:p>
    <w:p w14:paraId="7BBDCB0C">
      <w:pPr>
        <w:pStyle w:val="32"/>
        <w:spacing w:after="0" w:line="240" w:lineRule="auto"/>
        <w:jc w:val="center"/>
        <w:rPr>
          <w:rStyle w:val="14"/>
          <w:rFonts w:ascii="宋体" w:hAnsi="宋体" w:eastAsia="宋体" w:cs="宋体"/>
          <w:sz w:val="21"/>
          <w:szCs w:val="21"/>
          <w:lang w:val="zh-CN"/>
        </w:rPr>
      </w:pPr>
    </w:p>
    <w:p w14:paraId="3B23954E">
      <w:pPr>
        <w:pStyle w:val="32"/>
        <w:spacing w:after="0" w:line="240" w:lineRule="auto"/>
        <w:ind w:firstLine="415" w:firstLineChars="198"/>
        <w:rPr>
          <w:rStyle w:val="14"/>
          <w:rFonts w:ascii="宋体" w:hAnsi="宋体" w:eastAsia="宋体" w:cs="宋体"/>
          <w:sz w:val="21"/>
          <w:szCs w:val="21"/>
          <w:lang w:val="zh-CN"/>
        </w:rPr>
      </w:pPr>
      <w:r>
        <w:rPr>
          <w:rStyle w:val="14"/>
          <w:rFonts w:hint="eastAsia" w:ascii="宋体" w:hAnsi="宋体" w:eastAsia="宋体" w:cs="宋体"/>
          <w:sz w:val="21"/>
          <w:szCs w:val="21"/>
          <w:lang w:val="zh-CN"/>
        </w:rPr>
        <w:t>一、原则</w:t>
      </w:r>
    </w:p>
    <w:p w14:paraId="5F23943F">
      <w:pPr>
        <w:pStyle w:val="32"/>
        <w:numPr>
          <w:ilvl w:val="0"/>
          <w:numId w:val="3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在涉及人类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的医学研究中，个体研究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w:t>
      </w:r>
      <w:r>
        <w:rPr>
          <w:rStyle w:val="14"/>
          <w:rFonts w:hint="eastAsia" w:hAnsi="宋体" w:eastAsia="宋体" w:cs="宋体"/>
          <w:sz w:val="21"/>
          <w:szCs w:val="21"/>
        </w:rPr>
        <w:t>权益</w:t>
      </w:r>
      <w:r>
        <w:rPr>
          <w:rStyle w:val="14"/>
          <w:rFonts w:hint="eastAsia" w:ascii="宋体" w:hAnsi="宋体" w:eastAsia="宋体" w:cs="宋体"/>
          <w:sz w:val="21"/>
          <w:szCs w:val="21"/>
          <w:lang w:val="zh-CN"/>
        </w:rPr>
        <w:t>必须优于其他所有利益。</w:t>
      </w:r>
    </w:p>
    <w:p w14:paraId="72FB1697">
      <w:pPr>
        <w:pStyle w:val="32"/>
        <w:numPr>
          <w:ilvl w:val="0"/>
          <w:numId w:val="3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涉及人类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的医学研究必须遵循普遍接受的科学原则，必须建立在对科学文献和其他相关信息的全面了解的基础上，必须以充分的实验室研究和恰当的动物实验为基础(以说明其合理的成功概率而没有不适当的风险）。</w:t>
      </w:r>
    </w:p>
    <w:p w14:paraId="259E99AA">
      <w:pPr>
        <w:pStyle w:val="32"/>
        <w:numPr>
          <w:ilvl w:val="0"/>
          <w:numId w:val="3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每一项涉及人类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的医学研究开始前，都必须仔细评估对参与研究的个人和社区带来的可预测的风险和负担，并将其与给</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以及受所研究疾病影响的其他个人和社区带来的可预见受益进行比较。</w:t>
      </w:r>
    </w:p>
    <w:p w14:paraId="5079DD8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二、审查要点</w:t>
      </w:r>
    </w:p>
    <w:p w14:paraId="6E339A6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对于所有人体生物医学研究，研究者必须保证潜在的利益和风险得到了合理地平衡，并且最小化了风险。</w:t>
      </w:r>
    </w:p>
    <w:p w14:paraId="4CB6EA2F">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1.研究风险的定义与评估</w:t>
      </w:r>
    </w:p>
    <w:p w14:paraId="2042F0A8">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1.1定义预期的研究风险</w:t>
      </w:r>
    </w:p>
    <w:p w14:paraId="43171FDE">
      <w:pPr>
        <w:pStyle w:val="32"/>
        <w:numPr>
          <w:ilvl w:val="0"/>
          <w:numId w:val="3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鉴别研究风险与医疗风险。 </w:t>
      </w:r>
    </w:p>
    <w:p w14:paraId="692E6262">
      <w:pPr>
        <w:pStyle w:val="32"/>
        <w:numPr>
          <w:ilvl w:val="0"/>
          <w:numId w:val="3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研究风险：研究行为(包括研究干预和研究程序）可能造成的伤害。</w:t>
      </w:r>
    </w:p>
    <w:p w14:paraId="33814888">
      <w:pPr>
        <w:pStyle w:val="32"/>
        <w:numPr>
          <w:ilvl w:val="0"/>
          <w:numId w:val="4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医疗风险：即使不参加临床研究也将承受的医疗风险。</w:t>
      </w:r>
    </w:p>
    <w:p w14:paraId="01C857B6">
      <w:pPr>
        <w:pStyle w:val="32"/>
        <w:numPr>
          <w:ilvl w:val="0"/>
          <w:numId w:val="4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只有研究风险才在伦理审查的考虑范围之内。</w:t>
      </w:r>
    </w:p>
    <w:p w14:paraId="7DD98D79">
      <w:pPr>
        <w:pStyle w:val="32"/>
        <w:numPr>
          <w:ilvl w:val="0"/>
          <w:numId w:val="4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从研究干预、研究程序等方面，分析并定义预期的研究风险，如身体伤害，心理伤</w:t>
      </w:r>
    </w:p>
    <w:p w14:paraId="1E15492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害，社会伤害和经济伤害。</w:t>
      </w:r>
    </w:p>
    <w:p w14:paraId="31A53B9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1.2研究风险的等级</w:t>
      </w:r>
    </w:p>
    <w:p w14:paraId="2AEC979B">
      <w:pPr>
        <w:pStyle w:val="32"/>
        <w:numPr>
          <w:ilvl w:val="0"/>
          <w:numId w:val="4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最小风险：研究预期伤害或不适的可能性和程度不大于日常生活、或进行常规体格检查和心理测试时所遇到的风险。例如：</w:t>
      </w:r>
    </w:p>
    <w:p w14:paraId="5180D72B">
      <w:pPr>
        <w:pStyle w:val="32"/>
        <w:numPr>
          <w:ilvl w:val="0"/>
          <w:numId w:val="4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不涉及</w:t>
      </w:r>
      <w:r>
        <w:rPr>
          <w:rStyle w:val="14"/>
          <w:rFonts w:hint="eastAsia" w:hAnsi="宋体" w:eastAsia="宋体" w:cs="宋体"/>
          <w:sz w:val="21"/>
          <w:szCs w:val="21"/>
        </w:rPr>
        <w:t>侵入性行为</w:t>
      </w:r>
      <w:r>
        <w:rPr>
          <w:rStyle w:val="14"/>
          <w:rFonts w:hint="eastAsia" w:ascii="宋体" w:hAnsi="宋体" w:eastAsia="宋体" w:cs="宋体"/>
          <w:sz w:val="21"/>
          <w:szCs w:val="21"/>
          <w:lang w:val="zh-CN"/>
        </w:rPr>
        <w:t>的非干预措施研究，抽血，营养评估，行为学</w:t>
      </w:r>
      <w:r>
        <w:rPr>
          <w:rStyle w:val="14"/>
          <w:rFonts w:hint="eastAsia" w:hAnsi="宋体" w:eastAsia="宋体" w:cs="宋体"/>
          <w:sz w:val="21"/>
          <w:szCs w:val="21"/>
        </w:rPr>
        <w:t>研究</w:t>
      </w:r>
      <w:r>
        <w:rPr>
          <w:rStyle w:val="14"/>
          <w:rFonts w:hint="eastAsia" w:ascii="宋体" w:hAnsi="宋体" w:eastAsia="宋体" w:cs="宋体"/>
          <w:sz w:val="21"/>
          <w:szCs w:val="21"/>
          <w:lang w:val="zh-CN"/>
        </w:rPr>
        <w:t>等。</w:t>
      </w:r>
    </w:p>
    <w:p w14:paraId="56CB7FDC">
      <w:pPr>
        <w:pStyle w:val="32"/>
        <w:numPr>
          <w:ilvl w:val="0"/>
          <w:numId w:val="4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不使用镇静剂的影像学检查。</w:t>
      </w:r>
    </w:p>
    <w:p w14:paraId="57F502B2">
      <w:pPr>
        <w:pStyle w:val="32"/>
        <w:numPr>
          <w:ilvl w:val="0"/>
          <w:numId w:val="4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研究标本的二次利用，心电图，步态评估，调</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 xml:space="preserve">问卷表等。    </w:t>
      </w:r>
    </w:p>
    <w:p w14:paraId="6D755674">
      <w:pPr>
        <w:pStyle w:val="32"/>
        <w:numPr>
          <w:ilvl w:val="0"/>
          <w:numId w:val="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低风险：研究风险稍大于最小风险；发生可逆性的、轻度不良事件(如活动引起的肌肉/关节疼痛或扭伤）的可能性增加。例如:</w:t>
      </w:r>
    </w:p>
    <w:p w14:paraId="4982A0A4">
      <w:pPr>
        <w:pStyle w:val="32"/>
        <w:numPr>
          <w:ilvl w:val="1"/>
          <w:numId w:val="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低风险干预措施研究，其风险与临床实践中预期产生的风险相当，如内窥镜检</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，口服糖耐量试验，皮肤或肌肉活检，鼻腔清洗，腰穿，骨髓活检，要求镇静的影像学检查等。</w:t>
      </w:r>
    </w:p>
    <w:p w14:paraId="3359A133">
      <w:pPr>
        <w:pStyle w:val="32"/>
        <w:numPr>
          <w:ilvl w:val="1"/>
          <w:numId w:val="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非治疗性干预措施研究，如行为学研究，精神病学调查，营养性治疗等。</w:t>
      </w:r>
    </w:p>
    <w:p w14:paraId="1089F167">
      <w:pPr>
        <w:pStyle w:val="32"/>
        <w:numPr>
          <w:ilvl w:val="1"/>
          <w:numId w:val="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涉及已知可能有安全性问题的制剂，但获准在本适应证和人群使用的治疗性试验。</w:t>
      </w:r>
    </w:p>
    <w:p w14:paraId="16FEC806">
      <w:pPr>
        <w:pStyle w:val="32"/>
        <w:numPr>
          <w:ilvl w:val="0"/>
          <w:numId w:val="4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中风险：研究风险大于低风险，但概率不是非常高；发生可逆性的、中度不良事件(如低血糖反应，支气管痉挛或感染）的可能性增加，但有充分的监督和保护措施使得其后果最小；严重伤害的可能性非常小到几乎没有。例如：</w:t>
      </w:r>
    </w:p>
    <w:p w14:paraId="474C4C38">
      <w:pPr>
        <w:pStyle w:val="32"/>
        <w:numPr>
          <w:ilvl w:val="0"/>
          <w:numId w:val="4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既往有明确的人体安全性数据，提示为适度的、可接受的治疗或干预相关风险的Ⅰ期或Ⅱ期临床试验，如胰岛素钳夹试验，静脉糖耐量试验，器官活检等。</w:t>
      </w:r>
    </w:p>
    <w:p w14:paraId="5514E978">
      <w:pPr>
        <w:pStyle w:val="32"/>
        <w:numPr>
          <w:ilvl w:val="0"/>
          <w:numId w:val="4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涉及弱势群体的低风险研究。</w:t>
      </w:r>
    </w:p>
    <w:p w14:paraId="1E4D745E">
      <w:pPr>
        <w:pStyle w:val="32"/>
        <w:numPr>
          <w:ilvl w:val="0"/>
          <w:numId w:val="4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有较小的不可逆改变可能性的、涉及健康志愿者的研究。</w:t>
      </w:r>
    </w:p>
    <w:p w14:paraId="1C75F079">
      <w:pPr>
        <w:pStyle w:val="32"/>
        <w:numPr>
          <w:ilvl w:val="0"/>
          <w:numId w:val="4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高风险：研究风险大于中等风险；发生严重而持续的、与研究相关不良事件的可能性增加；或者关于不良事件的性质或者可能性有很大的不确定性。例如：</w:t>
      </w:r>
    </w:p>
    <w:p w14:paraId="73971FE1">
      <w:pPr>
        <w:pStyle w:val="32"/>
        <w:numPr>
          <w:ilvl w:val="0"/>
          <w:numId w:val="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涉及新的化学药品、药物或装置，在人体几乎没有或完全没有毒性数据的试验。</w:t>
      </w:r>
    </w:p>
    <w:p w14:paraId="07AEF759">
      <w:pPr>
        <w:pStyle w:val="32"/>
        <w:numPr>
          <w:ilvl w:val="0"/>
          <w:numId w:val="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有已知潜在风险的涉及干预或侵入性措施的试验。</w:t>
      </w:r>
    </w:p>
    <w:p w14:paraId="5E53C781">
      <w:pPr>
        <w:pStyle w:val="32"/>
        <w:numPr>
          <w:ilvl w:val="0"/>
          <w:numId w:val="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病人的基础疾病可能会产生与研究治疗有关的严重不良事件。</w:t>
      </w:r>
    </w:p>
    <w:p w14:paraId="4F198637">
      <w:pPr>
        <w:pStyle w:val="32"/>
        <w:numPr>
          <w:ilvl w:val="0"/>
          <w:numId w:val="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涉及集成电路设备的植入</w:t>
      </w:r>
      <w:r>
        <w:rPr>
          <w:rStyle w:val="14"/>
          <w:rFonts w:hint="eastAsia" w:hAnsi="宋体" w:eastAsia="宋体" w:cs="宋体"/>
          <w:sz w:val="21"/>
          <w:szCs w:val="21"/>
          <w:lang w:val="zh-CN"/>
        </w:rPr>
        <w:t>、</w:t>
      </w:r>
      <w:r>
        <w:rPr>
          <w:rStyle w:val="14"/>
          <w:rFonts w:hint="eastAsia" w:hAnsi="宋体" w:eastAsia="宋体" w:cs="宋体"/>
          <w:sz w:val="21"/>
          <w:szCs w:val="21"/>
        </w:rPr>
        <w:t>细胞治疗、疫苗试验、</w:t>
      </w:r>
      <w:r>
        <w:rPr>
          <w:rStyle w:val="14"/>
          <w:rFonts w:hint="eastAsia" w:ascii="宋体" w:hAnsi="宋体" w:eastAsia="宋体" w:cs="宋体"/>
          <w:sz w:val="21"/>
          <w:szCs w:val="21"/>
          <w:lang w:val="zh-CN"/>
        </w:rPr>
        <w:t>基因治疗。</w:t>
      </w:r>
    </w:p>
    <w:p w14:paraId="213ECA78">
      <w:pPr>
        <w:pStyle w:val="32"/>
        <w:numPr>
          <w:ilvl w:val="0"/>
          <w:numId w:val="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Ⅰ期临床试验，Ⅲ期多中心对照临床试验。</w:t>
      </w:r>
    </w:p>
    <w:p w14:paraId="00EA12F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1.3研究风险的影响因素</w:t>
      </w:r>
    </w:p>
    <w:p w14:paraId="2EE58DFB">
      <w:pPr>
        <w:pStyle w:val="32"/>
        <w:numPr>
          <w:ilvl w:val="0"/>
          <w:numId w:val="4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依据试验干预措施的临床经验、目标</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人群特征(如疾病状况、体质差异等)、试验药物的生物学特性，分析研究风险发生和风险程度的影响因素。</w:t>
      </w:r>
    </w:p>
    <w:p w14:paraId="37849546">
      <w:pPr>
        <w:pStyle w:val="32"/>
        <w:spacing w:after="0" w:line="240" w:lineRule="auto"/>
        <w:rPr>
          <w:rStyle w:val="14"/>
          <w:rFonts w:ascii="宋体" w:hAnsi="宋体" w:eastAsia="宋体" w:cs="宋体"/>
          <w:sz w:val="21"/>
          <w:szCs w:val="21"/>
          <w:lang w:val="zh-CN"/>
        </w:rPr>
      </w:pPr>
    </w:p>
    <w:p w14:paraId="745F818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2.风险在可能的范围内最小化</w:t>
      </w:r>
    </w:p>
    <w:p w14:paraId="0EF8C0CF">
      <w:pPr>
        <w:pStyle w:val="32"/>
        <w:numPr>
          <w:ilvl w:val="0"/>
          <w:numId w:val="5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针对预期的风险及其易感因素，采取研究风险最小化的措施，例如： </w:t>
      </w:r>
    </w:p>
    <w:p w14:paraId="7809717B">
      <w:pPr>
        <w:pStyle w:val="32"/>
        <w:numPr>
          <w:ilvl w:val="0"/>
          <w:numId w:val="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排除对研究风险更敏感或更易受伤害的个体或群体参与研究。预期不良事件的处理方案与程序，包括</w:t>
      </w:r>
      <w:r>
        <w:rPr>
          <w:rStyle w:val="14"/>
          <w:rFonts w:hint="eastAsia" w:hAnsi="宋体" w:eastAsia="宋体" w:cs="宋体"/>
          <w:sz w:val="21"/>
          <w:szCs w:val="21"/>
        </w:rPr>
        <w:t>临床试验风险管理计划、</w:t>
      </w:r>
      <w:r>
        <w:rPr>
          <w:rStyle w:val="14"/>
          <w:rFonts w:hint="eastAsia" w:ascii="宋体" w:hAnsi="宋体" w:eastAsia="宋体" w:cs="宋体"/>
          <w:sz w:val="21"/>
          <w:szCs w:val="21"/>
          <w:lang w:val="zh-CN"/>
        </w:rPr>
        <w:t>研究者应急处理能力的培训。</w:t>
      </w:r>
    </w:p>
    <w:p w14:paraId="1D5362F0">
      <w:pPr>
        <w:pStyle w:val="32"/>
        <w:numPr>
          <w:ilvl w:val="0"/>
          <w:numId w:val="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无法忍受的症状发生时，允许釆用阳性药物治疗的规定。</w:t>
      </w:r>
    </w:p>
    <w:p w14:paraId="2307505B">
      <w:pPr>
        <w:pStyle w:val="32"/>
        <w:numPr>
          <w:ilvl w:val="0"/>
          <w:numId w:val="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紧急破盲的规定。</w:t>
      </w:r>
    </w:p>
    <w:p w14:paraId="6AA26B41">
      <w:pPr>
        <w:pStyle w:val="32"/>
        <w:numPr>
          <w:ilvl w:val="0"/>
          <w:numId w:val="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提前中止研究的标准。</w:t>
      </w:r>
    </w:p>
    <w:p w14:paraId="73F97F4A">
      <w:pPr>
        <w:pStyle w:val="32"/>
        <w:numPr>
          <w:ilvl w:val="0"/>
          <w:numId w:val="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数据与安全监察（参见第二章“五、数据与安全监察”）。</w:t>
      </w:r>
    </w:p>
    <w:p w14:paraId="4595428D">
      <w:pPr>
        <w:pStyle w:val="32"/>
        <w:numPr>
          <w:ilvl w:val="0"/>
          <w:numId w:val="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叠加设计：当研究性治疗的作用机理与标准治疗不同时，可以考虑在标准治疗的基础上，进行研究干预与安慰剂的对照设计。</w:t>
      </w:r>
    </w:p>
    <w:p w14:paraId="0A27010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3.预期受益的评估</w:t>
      </w:r>
    </w:p>
    <w:p w14:paraId="156023CC">
      <w:pPr>
        <w:pStyle w:val="32"/>
        <w:numPr>
          <w:ilvl w:val="0"/>
          <w:numId w:val="52"/>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的受益：具有诊断、治疗或预防的直接益处。</w:t>
      </w:r>
    </w:p>
    <w:p w14:paraId="2449F4F2">
      <w:pPr>
        <w:pStyle w:val="32"/>
        <w:numPr>
          <w:ilvl w:val="0"/>
          <w:numId w:val="5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作为激励或报答向参加研究的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支付的报酬或其他形式的补偿，不应被考虑为研究的“受益”。</w:t>
      </w:r>
    </w:p>
    <w:p w14:paraId="4446A55B">
      <w:pPr>
        <w:pStyle w:val="32"/>
        <w:numPr>
          <w:ilvl w:val="0"/>
          <w:numId w:val="5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个体研究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福祉必须高于所有其他利益。</w:t>
      </w:r>
    </w:p>
    <w:p w14:paraId="65426BCC">
      <w:pPr>
        <w:pStyle w:val="32"/>
        <w:numPr>
          <w:ilvl w:val="0"/>
          <w:numId w:val="5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科学和社会的受益。</w:t>
      </w:r>
    </w:p>
    <w:p w14:paraId="402E65D9">
      <w:pPr>
        <w:pStyle w:val="32"/>
        <w:spacing w:after="0" w:line="240" w:lineRule="auto"/>
        <w:rPr>
          <w:rStyle w:val="14"/>
          <w:rFonts w:ascii="宋体" w:hAnsi="宋体" w:eastAsia="宋体" w:cs="宋体"/>
          <w:sz w:val="21"/>
          <w:szCs w:val="21"/>
          <w:lang w:val="zh-CN"/>
        </w:rPr>
      </w:pPr>
    </w:p>
    <w:p w14:paraId="4F060F8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4风险与受益比是否合理的评估，</w:t>
      </w:r>
    </w:p>
    <w:p w14:paraId="368E4B6A">
      <w:pPr>
        <w:pStyle w:val="32"/>
        <w:numPr>
          <w:ilvl w:val="0"/>
          <w:numId w:val="5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有直接受益前景的研究</w:t>
      </w:r>
    </w:p>
    <w:p w14:paraId="0BF00325">
      <w:pPr>
        <w:pStyle w:val="32"/>
        <w:numPr>
          <w:ilvl w:val="0"/>
          <w:numId w:val="5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提供给</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的具有直接诊断、治疗或预防益处的干预措施或治疗过程的合理性在于，从可预见的风险和受益的角度，与常规医疗任何可得到的替代方法相比至少是同样有利的。</w:t>
      </w:r>
    </w:p>
    <w:p w14:paraId="11B5498F">
      <w:pPr>
        <w:pStyle w:val="32"/>
        <w:numPr>
          <w:ilvl w:val="0"/>
          <w:numId w:val="5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这种"有益的"干预措施或治疗过程的风险相对于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预期的受益而言必须是合理的。</w:t>
      </w:r>
    </w:p>
    <w:p w14:paraId="72D39F61">
      <w:pPr>
        <w:pStyle w:val="32"/>
        <w:numPr>
          <w:ilvl w:val="0"/>
          <w:numId w:val="5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没有直接受益前景的研究</w:t>
      </w:r>
    </w:p>
    <w:p w14:paraId="3B96416D">
      <w:pPr>
        <w:pStyle w:val="32"/>
        <w:numPr>
          <w:ilvl w:val="0"/>
          <w:numId w:val="5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没有直接诊断、治疗、或预防益处的干预措施的风险相对于社会的预期受益（可概括为知识）而言必须是合理的。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的风险应能被社会的预期受益所辩护，风险相对于将要获得的知识的重要性而言必须是合理的。</w:t>
      </w:r>
    </w:p>
    <w:p w14:paraId="0E58CFBD">
      <w:pPr>
        <w:pStyle w:val="32"/>
        <w:numPr>
          <w:ilvl w:val="0"/>
          <w:numId w:val="5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知情同意：并不限制充分知情、能够完全认识研究的风险和受益的志愿者，为了无私的理由或为了适度的报酬而参加研究。伦理审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 xml:space="preserve">应重点关注： </w:t>
      </w:r>
    </w:p>
    <w:p w14:paraId="002630AC">
      <w:pPr>
        <w:pStyle w:val="32"/>
        <w:numPr>
          <w:ilvl w:val="4"/>
          <w:numId w:val="5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充分告知风险。</w:t>
      </w:r>
    </w:p>
    <w:p w14:paraId="5425F400">
      <w:pPr>
        <w:pStyle w:val="32"/>
        <w:numPr>
          <w:ilvl w:val="4"/>
          <w:numId w:val="5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避免劝诱。</w:t>
      </w:r>
    </w:p>
    <w:p w14:paraId="4F0E82B6">
      <w:pPr>
        <w:pStyle w:val="32"/>
        <w:spacing w:after="0" w:line="240" w:lineRule="auto"/>
        <w:rPr>
          <w:rStyle w:val="14"/>
          <w:rFonts w:ascii="宋体" w:hAnsi="宋体" w:eastAsia="宋体" w:cs="宋体"/>
          <w:sz w:val="21"/>
          <w:szCs w:val="21"/>
          <w:lang w:val="zh-CN"/>
        </w:rPr>
      </w:pPr>
    </w:p>
    <w:p w14:paraId="7AB958C1">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5.跟踪审查的频率</w:t>
      </w:r>
    </w:p>
    <w:p w14:paraId="338EDFBF">
      <w:pPr>
        <w:pStyle w:val="32"/>
        <w:numPr>
          <w:ilvl w:val="0"/>
          <w:numId w:val="6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研究风险的评估是基于已有证据的“预期”推断，应定期审查临床研究进行中</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的风险程度。</w:t>
      </w:r>
    </w:p>
    <w:p w14:paraId="0B2A7124">
      <w:pPr>
        <w:pStyle w:val="32"/>
        <w:numPr>
          <w:ilvl w:val="0"/>
          <w:numId w:val="61"/>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根据风险的程度，确定定期跟踪审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的频率，最长不超过1年。</w:t>
      </w:r>
    </w:p>
    <w:p w14:paraId="764321E1">
      <w:pPr>
        <w:pStyle w:val="32"/>
        <w:spacing w:after="0" w:line="240" w:lineRule="auto"/>
        <w:jc w:val="both"/>
        <w:rPr>
          <w:rStyle w:val="14"/>
          <w:rFonts w:ascii="宋体" w:hAnsi="宋体" w:eastAsia="宋体" w:cs="宋体"/>
          <w:sz w:val="21"/>
          <w:szCs w:val="21"/>
          <w:lang w:val="zh-CN"/>
        </w:rPr>
      </w:pPr>
    </w:p>
    <w:p w14:paraId="0877B099">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三、涉及不能给予知情同意</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时关于风险的特殊限定</w:t>
      </w:r>
    </w:p>
    <w:p w14:paraId="72BE9ACC">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1.不大于最小风险</w:t>
      </w:r>
    </w:p>
    <w:p w14:paraId="237F4A70">
      <w:pPr>
        <w:pStyle w:val="32"/>
        <w:numPr>
          <w:ilvl w:val="0"/>
          <w:numId w:val="60"/>
        </w:numPr>
        <w:spacing w:after="0" w:line="240" w:lineRule="auto"/>
        <w:ind w:left="795" w:hanging="42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涉及不能给予知情同意</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的临床研究，同时研究对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没有直接受益前景时，研究风险应不大于最小风险。</w:t>
      </w:r>
    </w:p>
    <w:p w14:paraId="65578340">
      <w:pPr>
        <w:pStyle w:val="32"/>
        <w:numPr>
          <w:ilvl w:val="0"/>
          <w:numId w:val="6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此时，除了需要满足所有涉及该特殊人群研究的一般要求外（</w:t>
      </w:r>
      <w:r>
        <w:rPr>
          <w:rStyle w:val="14"/>
          <w:rFonts w:hint="eastAsia" w:hAnsi="宋体" w:eastAsia="宋体" w:cs="宋体"/>
          <w:sz w:val="21"/>
          <w:szCs w:val="21"/>
          <w:lang w:val="zh-CN"/>
        </w:rPr>
        <w:t>法定代理人</w:t>
      </w:r>
      <w:r>
        <w:rPr>
          <w:rStyle w:val="14"/>
          <w:rFonts w:hint="eastAsia" w:ascii="宋体" w:hAnsi="宋体" w:eastAsia="宋体" w:cs="宋体"/>
          <w:sz w:val="21"/>
          <w:szCs w:val="21"/>
          <w:lang w:val="zh-CN"/>
        </w:rPr>
        <w:t>同意，有能力表达同意时的本人同意；需要公正见证人同意的情形，还需获得公正见证人的同意），无需专门的附加保护措施。</w:t>
      </w:r>
    </w:p>
    <w:p w14:paraId="695322E9">
      <w:pPr>
        <w:pStyle w:val="32"/>
        <w:spacing w:after="0" w:line="240" w:lineRule="auto"/>
        <w:jc w:val="both"/>
        <w:rPr>
          <w:rStyle w:val="14"/>
          <w:rFonts w:ascii="宋体" w:hAnsi="宋体" w:eastAsia="宋体" w:cs="宋体"/>
          <w:sz w:val="21"/>
          <w:szCs w:val="21"/>
          <w:lang w:val="zh-CN"/>
        </w:rPr>
      </w:pPr>
    </w:p>
    <w:p w14:paraId="356F3DBB">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2.略大于最小风险</w:t>
      </w:r>
    </w:p>
    <w:p w14:paraId="079FF6CB">
      <w:pPr>
        <w:pStyle w:val="32"/>
        <w:numPr>
          <w:ilvl w:val="0"/>
          <w:numId w:val="62"/>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当存在非常重要的科学或医学理由，并得到伦理委员会的批准，略大于最小风险也是允许的。伦理委员会必须判定：</w:t>
      </w:r>
    </w:p>
    <w:p w14:paraId="1ECB84A4">
      <w:pPr>
        <w:pStyle w:val="32"/>
        <w:numPr>
          <w:ilvl w:val="0"/>
          <w:numId w:val="6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研究目的是针对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所患疾病，或针对他们特别易感的状态；</w:t>
      </w:r>
    </w:p>
    <w:p w14:paraId="00AC5894">
      <w:pPr>
        <w:pStyle w:val="32"/>
        <w:numPr>
          <w:ilvl w:val="0"/>
          <w:numId w:val="6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在研究所处条件下或相应的临床环境下，研究干预措施的风险仅略大于对他们</w:t>
      </w:r>
    </w:p>
    <w:p w14:paraId="6ECEE6CD">
      <w:pPr>
        <w:pStyle w:val="32"/>
        <w:spacing w:after="0" w:line="240" w:lineRule="auto"/>
        <w:ind w:left="1095" w:firstLine="0"/>
        <w:rPr>
          <w:rStyle w:val="14"/>
          <w:rFonts w:ascii="宋体" w:hAnsi="宋体" w:eastAsia="宋体" w:cs="宋体"/>
          <w:sz w:val="21"/>
          <w:szCs w:val="21"/>
          <w:lang w:val="zh-CN"/>
        </w:rPr>
      </w:pPr>
      <w:r>
        <w:rPr>
          <w:rStyle w:val="14"/>
          <w:rFonts w:hint="eastAsia" w:ascii="宋体" w:hAnsi="宋体" w:eastAsia="宋体" w:cs="宋体"/>
          <w:sz w:val="21"/>
          <w:szCs w:val="21"/>
          <w:lang w:val="zh-CN"/>
        </w:rPr>
        <w:t>常规体格检</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或心理检</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的风险；研究目的十分重要，能证明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风险增大的合理性；</w:t>
      </w:r>
    </w:p>
    <w:p w14:paraId="127939CB">
      <w:pPr>
        <w:pStyle w:val="32"/>
        <w:numPr>
          <w:ilvl w:val="0"/>
          <w:numId w:val="6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研究干预措施与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在常规医疗情况下可能经历的临床干预措施比较是相当的。</w:t>
      </w:r>
    </w:p>
    <w:p w14:paraId="4FAACE60">
      <w:pPr>
        <w:pStyle w:val="32"/>
        <w:numPr>
          <w:ilvl w:val="0"/>
          <w:numId w:val="6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略大于最小风险的判断</w:t>
      </w:r>
    </w:p>
    <w:p w14:paraId="66BC2A77">
      <w:pPr>
        <w:pStyle w:val="32"/>
        <w:numPr>
          <w:ilvl w:val="0"/>
          <w:numId w:val="6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以这类检</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的临床医疗常规适应证为判断条件，要求研究的目的是针对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的有关疾病或症状。例如，腰椎穿剌或骨髓抽吸，要求研究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属于该项检</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适应证范围内的患者，而不能对健康</w:t>
      </w:r>
      <w:r>
        <w:rPr>
          <w:rStyle w:val="14"/>
          <w:rFonts w:hint="eastAsia" w:hAnsi="宋体" w:eastAsia="宋体" w:cs="宋体"/>
          <w:sz w:val="21"/>
          <w:szCs w:val="21"/>
          <w:lang w:val="zh-CN"/>
        </w:rPr>
        <w:t>未成年人</w:t>
      </w:r>
      <w:r>
        <w:rPr>
          <w:rStyle w:val="14"/>
          <w:rFonts w:hint="eastAsia" w:ascii="宋体" w:hAnsi="宋体" w:eastAsia="宋体" w:cs="宋体"/>
          <w:sz w:val="21"/>
          <w:szCs w:val="21"/>
          <w:lang w:val="zh-CN"/>
        </w:rPr>
        <w:t>使用这类干预措施。</w:t>
      </w:r>
    </w:p>
    <w:p w14:paraId="5BB5FF28">
      <w:pPr>
        <w:pStyle w:val="32"/>
        <w:spacing w:after="0" w:line="240" w:lineRule="auto"/>
        <w:ind w:left="1140" w:firstLine="0"/>
        <w:rPr>
          <w:rStyle w:val="14"/>
          <w:rFonts w:ascii="宋体" w:hAnsi="宋体" w:eastAsia="宋体" w:cs="宋体"/>
          <w:sz w:val="21"/>
          <w:szCs w:val="21"/>
          <w:lang w:val="zh-CN"/>
        </w:rPr>
      </w:pPr>
    </w:p>
    <w:p w14:paraId="700A78E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四、预防或推迟致命的、或致残后果的随机对照硏究的风险最小化</w:t>
      </w:r>
    </w:p>
    <w:p w14:paraId="5CCCE173">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随机对照试验的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有被分配接受已被证明疗效较差的治疗的风险。为评价一种干预措施预防或推迟致命的、或致残后果的随机对照试验，为使其风险最小化：</w:t>
      </w:r>
    </w:p>
    <w:p w14:paraId="3AF1E726">
      <w:pPr>
        <w:pStyle w:val="32"/>
        <w:numPr>
          <w:ilvl w:val="0"/>
          <w:numId w:val="6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研究者决不能为了进行试验而不使用已知的标准治疗措施，除非这样做可以用第一章“三、临床研究中对照的选择”所提出的标准证明其是合理的。</w:t>
      </w:r>
    </w:p>
    <w:p w14:paraId="6D3D65A2">
      <w:pPr>
        <w:pStyle w:val="32"/>
        <w:numPr>
          <w:ilvl w:val="0"/>
          <w:numId w:val="6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 应在研究方案中规定一个独立的委员会（数据和安全监察委员会）负责监察研究数据。</w:t>
      </w:r>
    </w:p>
    <w:p w14:paraId="6770E6F8">
      <w:pPr>
        <w:pStyle w:val="32"/>
        <w:numPr>
          <w:ilvl w:val="0"/>
          <w:numId w:val="7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己经建立了提前终止研究的标准。</w:t>
      </w:r>
    </w:p>
    <w:p w14:paraId="7159A051">
      <w:pPr>
        <w:pStyle w:val="32"/>
        <w:spacing w:after="0" w:line="240" w:lineRule="auto"/>
        <w:ind w:left="795" w:firstLine="0"/>
        <w:rPr>
          <w:rStyle w:val="14"/>
          <w:rFonts w:ascii="宋体" w:hAnsi="宋体" w:eastAsia="宋体" w:cs="宋体"/>
          <w:sz w:val="21"/>
          <w:szCs w:val="21"/>
          <w:lang w:val="zh-CN"/>
        </w:rPr>
      </w:pPr>
    </w:p>
    <w:p w14:paraId="166836AB">
      <w:pPr>
        <w:pStyle w:val="32"/>
        <w:spacing w:after="0" w:line="240" w:lineRule="auto"/>
        <w:rPr>
          <w:rStyle w:val="14"/>
          <w:rFonts w:ascii="宋体" w:hAnsi="宋体" w:eastAsia="宋体" w:cs="宋体"/>
          <w:sz w:val="21"/>
          <w:szCs w:val="21"/>
        </w:rPr>
      </w:pPr>
      <w:r>
        <w:rPr>
          <w:rStyle w:val="14"/>
          <w:rFonts w:hint="eastAsia" w:ascii="宋体" w:hAnsi="宋体" w:eastAsia="宋体" w:cs="宋体"/>
          <w:sz w:val="21"/>
          <w:szCs w:val="21"/>
          <w:lang w:val="zh-CN"/>
        </w:rPr>
        <w:t>五、</w:t>
      </w:r>
      <w:r>
        <w:rPr>
          <w:rStyle w:val="14"/>
          <w:rFonts w:hint="eastAsia" w:hAnsi="宋体" w:eastAsia="宋体" w:cs="宋体"/>
          <w:sz w:val="21"/>
          <w:szCs w:val="21"/>
        </w:rPr>
        <w:t>数据和安全监查</w:t>
      </w:r>
    </w:p>
    <w:p w14:paraId="3705FFAF">
      <w:pPr>
        <w:pStyle w:val="32"/>
        <w:spacing w:after="0" w:line="240" w:lineRule="auto"/>
        <w:rPr>
          <w:rStyle w:val="14"/>
          <w:rFonts w:ascii="宋体" w:hAnsi="宋体" w:eastAsia="宋体" w:cs="宋体"/>
          <w:sz w:val="21"/>
          <w:szCs w:val="21"/>
          <w:lang w:val="zh-CN"/>
        </w:rPr>
      </w:pPr>
      <w:r>
        <w:rPr>
          <w:rStyle w:val="14"/>
          <w:rFonts w:hint="eastAsia" w:hAnsi="宋体" w:eastAsia="宋体" w:cs="宋体"/>
          <w:sz w:val="21"/>
          <w:szCs w:val="21"/>
          <w:lang w:val="zh-CN"/>
        </w:rPr>
        <w:t>独立的数据监查委员会（数据和安全监查委员会，监查委员会，数据监查委员会），指由申办者设立的独立的数据监查委员会，定期对临床试验的进展、安全性数据和重要的有效性终点进行评估，并向申办者建议是否继续、调整或者停止试验。</w:t>
      </w:r>
    </w:p>
    <w:p w14:paraId="7C2EB3F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1.原则</w:t>
      </w:r>
    </w:p>
    <w:p w14:paraId="26B9F673">
      <w:pPr>
        <w:pStyle w:val="32"/>
        <w:numPr>
          <w:ilvl w:val="0"/>
          <w:numId w:val="7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所有的临床试验都应制</w:t>
      </w:r>
      <w:r>
        <w:rPr>
          <w:rStyle w:val="14"/>
          <w:rFonts w:hint="eastAsia" w:hAnsi="宋体" w:eastAsia="宋体" w:cs="宋体"/>
          <w:sz w:val="21"/>
          <w:szCs w:val="21"/>
        </w:rPr>
        <w:t>定</w:t>
      </w:r>
      <w:r>
        <w:rPr>
          <w:rStyle w:val="14"/>
          <w:rFonts w:hint="eastAsia" w:ascii="宋体" w:hAnsi="宋体" w:eastAsia="宋体" w:cs="宋体"/>
          <w:sz w:val="21"/>
          <w:szCs w:val="21"/>
          <w:lang w:val="zh-CN"/>
        </w:rPr>
        <w:t>数据和安全监察计划。</w:t>
      </w:r>
    </w:p>
    <w:p w14:paraId="473061C9">
      <w:pPr>
        <w:pStyle w:val="32"/>
        <w:numPr>
          <w:ilvl w:val="0"/>
          <w:numId w:val="71"/>
        </w:numPr>
        <w:spacing w:after="0" w:line="240" w:lineRule="auto"/>
        <w:ind w:left="374" w:firstLine="0"/>
        <w:rPr>
          <w:rStyle w:val="14"/>
          <w:rFonts w:ascii="宋体" w:hAnsi="宋体" w:eastAsia="宋体" w:cs="宋体"/>
          <w:sz w:val="21"/>
          <w:szCs w:val="21"/>
          <w:lang w:val="zh-CN"/>
        </w:rPr>
      </w:pPr>
      <w:r>
        <w:rPr>
          <w:rStyle w:val="14"/>
          <w:rFonts w:hint="eastAsia" w:ascii="宋体" w:hAnsi="宋体" w:eastAsia="宋体" w:cs="宋体"/>
          <w:sz w:val="21"/>
          <w:szCs w:val="21"/>
          <w:lang w:val="zh-CN"/>
        </w:rPr>
        <w:t>安全监察的强度应该与研究风险的等级相当。</w:t>
      </w:r>
    </w:p>
    <w:p w14:paraId="262424DA">
      <w:pPr>
        <w:pStyle w:val="32"/>
        <w:numPr>
          <w:ilvl w:val="0"/>
          <w:numId w:val="7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必要时需要建立数据和安全监察委员会</w:t>
      </w:r>
      <w:r>
        <w:rPr>
          <w:rStyle w:val="14"/>
          <w:rFonts w:hint="eastAsia" w:hAnsi="宋体" w:eastAsia="宋体" w:cs="宋体"/>
          <w:sz w:val="21"/>
          <w:szCs w:val="21"/>
          <w:lang w:val="zh-CN"/>
        </w:rPr>
        <w:t>，</w:t>
      </w:r>
      <w:r>
        <w:rPr>
          <w:rStyle w:val="14"/>
          <w:rFonts w:hint="eastAsia" w:hAnsi="宋体" w:eastAsia="宋体" w:cs="宋体"/>
          <w:sz w:val="21"/>
          <w:szCs w:val="21"/>
        </w:rPr>
        <w:t>对于1类新药研究要求更高。</w:t>
      </w:r>
    </w:p>
    <w:p w14:paraId="53A687F3">
      <w:pPr>
        <w:pStyle w:val="32"/>
        <w:spacing w:after="0" w:line="240" w:lineRule="auto"/>
        <w:rPr>
          <w:rStyle w:val="14"/>
          <w:rFonts w:ascii="宋体" w:hAnsi="宋体" w:eastAsia="宋体" w:cs="宋体"/>
          <w:sz w:val="21"/>
          <w:szCs w:val="21"/>
          <w:lang w:val="zh-CN"/>
        </w:rPr>
      </w:pPr>
    </w:p>
    <w:p w14:paraId="36BA5D6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2.安全监察的强度</w:t>
      </w:r>
    </w:p>
    <w:p w14:paraId="269F0ADF">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安全监察的强度应该与研究风险的等级相当。对于处于二者之间的风险等级，应该就高一级的风险等级进行监察。</w:t>
      </w:r>
    </w:p>
    <w:p w14:paraId="3E70D28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研究风险的等级，参见第二章“二、审查要点，1.研究风险的定义与评估”。</w:t>
      </w:r>
    </w:p>
    <w:p w14:paraId="094A0DEB">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2.1最小强度监察。如：</w:t>
      </w:r>
    </w:p>
    <w:p w14:paraId="42A126E9">
      <w:pPr>
        <w:pStyle w:val="32"/>
        <w:numPr>
          <w:ilvl w:val="0"/>
          <w:numId w:val="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与研究干预有关的所有不良事件将被详细记录在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的医疗文件和病例报告表中，并且进入研究机构数据库。</w:t>
      </w:r>
    </w:p>
    <w:p w14:paraId="3B5E7FC1">
      <w:pPr>
        <w:pStyle w:val="32"/>
        <w:numPr>
          <w:ilvl w:val="0"/>
          <w:numId w:val="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研究者负责：</w:t>
      </w:r>
    </w:p>
    <w:p w14:paraId="3357D10D">
      <w:pPr>
        <w:pStyle w:val="32"/>
        <w:numPr>
          <w:ilvl w:val="0"/>
          <w:numId w:val="7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研究是在获得了干预有效性的初步证据后进行的。</w:t>
      </w:r>
    </w:p>
    <w:p w14:paraId="4AFBB391">
      <w:pPr>
        <w:pStyle w:val="32"/>
        <w:numPr>
          <w:ilvl w:val="0"/>
          <w:numId w:val="7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对每一不良事件的发生、持续时间、程度、所需治疗、结果以及需要早期中止</w:t>
      </w:r>
    </w:p>
    <w:p w14:paraId="3524A555">
      <w:pPr>
        <w:pStyle w:val="32"/>
        <w:spacing w:after="0" w:line="240" w:lineRule="auto"/>
        <w:ind w:left="420" w:firstLine="720"/>
        <w:rPr>
          <w:rStyle w:val="14"/>
          <w:rFonts w:ascii="宋体" w:hAnsi="宋体" w:eastAsia="宋体" w:cs="宋体"/>
          <w:sz w:val="21"/>
          <w:szCs w:val="21"/>
          <w:lang w:val="zh-CN"/>
        </w:rPr>
      </w:pPr>
      <w:r>
        <w:rPr>
          <w:rStyle w:val="14"/>
          <w:rFonts w:hint="eastAsia" w:ascii="宋体" w:hAnsi="宋体" w:eastAsia="宋体" w:cs="宋体"/>
          <w:sz w:val="21"/>
          <w:szCs w:val="21"/>
          <w:lang w:val="zh-CN"/>
        </w:rPr>
        <w:t>干预措施的情况提供文件证明。判断不良事件与研究干预措施的相关性。</w:t>
      </w:r>
    </w:p>
    <w:p w14:paraId="59E777AF">
      <w:pPr>
        <w:pStyle w:val="32"/>
        <w:numPr>
          <w:ilvl w:val="0"/>
          <w:numId w:val="7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所有不良事件都必须跟踪到满意缓解或事件的稳定。</w:t>
      </w:r>
    </w:p>
    <w:p w14:paraId="1FE74B32">
      <w:pPr>
        <w:pStyle w:val="32"/>
        <w:numPr>
          <w:ilvl w:val="0"/>
          <w:numId w:val="7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及时向伦理委员会、申办者和药品监督管理部门报告非预期不良事件或严重不良事件。</w:t>
      </w:r>
    </w:p>
    <w:p w14:paraId="073C6FBF">
      <w:pPr>
        <w:pStyle w:val="32"/>
        <w:numPr>
          <w:ilvl w:val="0"/>
          <w:numId w:val="7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定期对所有不良事件进行累积性审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w:t>
      </w:r>
    </w:p>
    <w:p w14:paraId="349796CE">
      <w:pPr>
        <w:pStyle w:val="32"/>
        <w:numPr>
          <w:ilvl w:val="0"/>
          <w:numId w:val="7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负责提交临床研究年度报告，内容包括：预期不良事件与非预期不良事件发生率；不良事件等级和归因比例；不良事件处理的说明；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退出研究数及其原因的说明；违背方案数及其处理的说明。</w:t>
      </w:r>
    </w:p>
    <w:p w14:paraId="36811AF4">
      <w:pPr>
        <w:pStyle w:val="32"/>
        <w:numPr>
          <w:ilvl w:val="0"/>
          <w:numId w:val="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双盲临床研究的监察要在盲态下进行，有可疑病例的揭盲程序。</w:t>
      </w:r>
    </w:p>
    <w:p w14:paraId="11F3CC60">
      <w:pPr>
        <w:pStyle w:val="32"/>
        <w:spacing w:after="0" w:line="240" w:lineRule="auto"/>
        <w:ind w:left="375" w:firstLine="0"/>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2.2低强度监察。如：    </w:t>
      </w:r>
    </w:p>
    <w:p w14:paraId="50F42829">
      <w:pPr>
        <w:pStyle w:val="32"/>
        <w:numPr>
          <w:ilvl w:val="1"/>
          <w:numId w:val="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包括上述最小强度的监察行为。</w:t>
      </w:r>
    </w:p>
    <w:p w14:paraId="41B589F5">
      <w:pPr>
        <w:pStyle w:val="32"/>
        <w:numPr>
          <w:ilvl w:val="1"/>
          <w:numId w:val="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定期召开研究会议，讨论研究的风险情况。</w:t>
      </w:r>
    </w:p>
    <w:p w14:paraId="6C7A4668">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2.3中等强度监察。如：</w:t>
      </w:r>
    </w:p>
    <w:p w14:paraId="29EBEBC9">
      <w:pPr>
        <w:pStyle w:val="32"/>
        <w:numPr>
          <w:ilvl w:val="0"/>
          <w:numId w:val="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包括上述低强度的监察行为。</w:t>
      </w:r>
    </w:p>
    <w:p w14:paraId="5AC135FD">
      <w:pPr>
        <w:pStyle w:val="32"/>
        <w:numPr>
          <w:ilvl w:val="0"/>
          <w:numId w:val="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密切监察研究，如：</w:t>
      </w:r>
    </w:p>
    <w:p w14:paraId="41411F0D">
      <w:pPr>
        <w:pStyle w:val="32"/>
        <w:numPr>
          <w:ilvl w:val="0"/>
          <w:numId w:val="7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主要研究者对不良事件进行实时监察。</w:t>
      </w:r>
    </w:p>
    <w:p w14:paraId="7A50FE06">
      <w:pPr>
        <w:pStyle w:val="32"/>
        <w:numPr>
          <w:ilvl w:val="0"/>
          <w:numId w:val="8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研究干预后的规定时间内随访病人，观察临床情况的变化。</w:t>
      </w:r>
    </w:p>
    <w:p w14:paraId="102E3740">
      <w:pPr>
        <w:pStyle w:val="32"/>
        <w:numPr>
          <w:ilvl w:val="0"/>
          <w:numId w:val="8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研究方案应规定：</w:t>
      </w:r>
    </w:p>
    <w:p w14:paraId="580A4A85">
      <w:pPr>
        <w:pStyle w:val="32"/>
        <w:numPr>
          <w:ilvl w:val="0"/>
          <w:numId w:val="8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最大耐受剂量的限定标准。</w:t>
      </w:r>
    </w:p>
    <w:p w14:paraId="1DD9B9F8">
      <w:pPr>
        <w:pStyle w:val="32"/>
        <w:numPr>
          <w:ilvl w:val="0"/>
          <w:numId w:val="8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中止研究或者终止</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继续研究的标准。</w:t>
      </w:r>
    </w:p>
    <w:p w14:paraId="44C016EA">
      <w:pPr>
        <w:pStyle w:val="32"/>
        <w:numPr>
          <w:ilvl w:val="0"/>
          <w:numId w:val="8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外部监察者的介入，如必须由安全监察员或者数据安全监察委员会审查不良事件，</w:t>
      </w:r>
    </w:p>
    <w:p w14:paraId="183BF536">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并事先规定审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的频率，确定多少比例的严重不良事件或非预期的不良事件是可</w:t>
      </w:r>
    </w:p>
    <w:p w14:paraId="4F3AE92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以接受的。</w:t>
      </w:r>
    </w:p>
    <w:p w14:paraId="220FD43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2.4高强度监察。如：</w:t>
      </w:r>
    </w:p>
    <w:p w14:paraId="544D014B">
      <w:pPr>
        <w:pStyle w:val="32"/>
        <w:numPr>
          <w:ilvl w:val="0"/>
          <w:numId w:val="8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包括上述中等强度的监察行为。</w:t>
      </w:r>
    </w:p>
    <w:p w14:paraId="293786BE">
      <w:pPr>
        <w:pStyle w:val="32"/>
        <w:numPr>
          <w:ilvl w:val="0"/>
          <w:numId w:val="8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研究数据报告的时限规定，如按观察的随访时点进入</w:t>
      </w:r>
      <w:r>
        <w:rPr>
          <w:rStyle w:val="14"/>
          <w:rFonts w:hint="eastAsia" w:asciiTheme="minorEastAsia" w:hAnsiTheme="minorEastAsia" w:eastAsiaTheme="minorEastAsia" w:cstheme="minorEastAsia"/>
          <w:sz w:val="21"/>
          <w:szCs w:val="21"/>
        </w:rPr>
        <w:t>EDC</w:t>
      </w:r>
      <w:r>
        <w:rPr>
          <w:rStyle w:val="14"/>
          <w:rFonts w:hint="eastAsia" w:ascii="宋体" w:hAnsi="宋体" w:eastAsia="宋体" w:cs="宋体"/>
          <w:sz w:val="21"/>
          <w:szCs w:val="21"/>
          <w:lang w:val="zh-CN"/>
        </w:rPr>
        <w:t>系统或寄送书面CRF。</w:t>
      </w:r>
    </w:p>
    <w:p w14:paraId="52390176">
      <w:pPr>
        <w:pStyle w:val="32"/>
        <w:numPr>
          <w:ilvl w:val="0"/>
          <w:numId w:val="8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建立紧急情况下</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的呼救系统，以及与研究者的有效联系方式。</w:t>
      </w:r>
    </w:p>
    <w:p w14:paraId="6FF9EEEB">
      <w:pPr>
        <w:pStyle w:val="32"/>
        <w:numPr>
          <w:ilvl w:val="0"/>
          <w:numId w:val="8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大多数高风险临床研究还需要有数据和安全监察委员会，包括（但不限于）:</w:t>
      </w:r>
    </w:p>
    <w:p w14:paraId="624FB284">
      <w:pPr>
        <w:pStyle w:val="32"/>
        <w:numPr>
          <w:ilvl w:val="0"/>
          <w:numId w:val="8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高危、双盲临床研究。</w:t>
      </w:r>
    </w:p>
    <w:p w14:paraId="2680699E">
      <w:pPr>
        <w:pStyle w:val="32"/>
        <w:numPr>
          <w:ilvl w:val="0"/>
          <w:numId w:val="8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预防或推迟致命的或致残后果的随机对照研究。</w:t>
      </w:r>
    </w:p>
    <w:p w14:paraId="276088F3">
      <w:pPr>
        <w:pStyle w:val="32"/>
        <w:numPr>
          <w:ilvl w:val="0"/>
          <w:numId w:val="8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大于最小风险的多中心Ⅲ期临床研究。</w:t>
      </w:r>
    </w:p>
    <w:p w14:paraId="3D728EBF">
      <w:pPr>
        <w:pStyle w:val="32"/>
        <w:numPr>
          <w:ilvl w:val="0"/>
          <w:numId w:val="8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涉及转基因或基因治疗的临床研究。</w:t>
      </w:r>
    </w:p>
    <w:p w14:paraId="6EDAFF43">
      <w:pPr>
        <w:pStyle w:val="32"/>
        <w:numPr>
          <w:ilvl w:val="0"/>
          <w:numId w:val="86"/>
        </w:numPr>
        <w:spacing w:after="0" w:line="240" w:lineRule="auto"/>
        <w:rPr>
          <w:rStyle w:val="14"/>
          <w:rFonts w:ascii="宋体" w:hAnsi="宋体" w:eastAsia="宋体" w:cs="宋体"/>
          <w:sz w:val="21"/>
          <w:szCs w:val="21"/>
          <w:lang w:val="zh-CN"/>
        </w:rPr>
      </w:pPr>
      <w:r>
        <w:rPr>
          <w:rStyle w:val="14"/>
          <w:rFonts w:hint="eastAsia" w:asciiTheme="minorEastAsia" w:hAnsiTheme="minorEastAsia" w:eastAsiaTheme="minorEastAsia" w:cstheme="minorEastAsia"/>
          <w:sz w:val="21"/>
          <w:szCs w:val="21"/>
        </w:rPr>
        <w:t>CAR-T等细胞治疗研究、疫苗研究、1.1类新药研究。</w:t>
      </w:r>
    </w:p>
    <w:p w14:paraId="627FB149">
      <w:pPr>
        <w:pStyle w:val="32"/>
        <w:spacing w:after="0" w:line="240" w:lineRule="auto"/>
        <w:rPr>
          <w:rStyle w:val="14"/>
          <w:rFonts w:ascii="宋体" w:hAnsi="宋体" w:eastAsia="宋体" w:cs="宋体"/>
          <w:sz w:val="21"/>
          <w:szCs w:val="21"/>
          <w:lang w:val="zh-CN"/>
        </w:rPr>
      </w:pPr>
    </w:p>
    <w:p w14:paraId="57C138C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3.数据和安全监察计划</w:t>
      </w:r>
    </w:p>
    <w:p w14:paraId="2AABFC6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数据与安全监察计划至少应包括：针对风险等级的安全监察强度，负责监察的人员和组织，不良事件处理和报告。</w:t>
      </w:r>
    </w:p>
    <w:p w14:paraId="22FF4B59">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3.1研究风险等级的评估，以及基于风险等级的安全监察强度。</w:t>
      </w:r>
    </w:p>
    <w:p w14:paraId="36FA4AD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3.2负责监察的人员或组织：</w:t>
      </w:r>
    </w:p>
    <w:p w14:paraId="3B159B61">
      <w:pPr>
        <w:pStyle w:val="32"/>
        <w:numPr>
          <w:ilvl w:val="0"/>
          <w:numId w:val="8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在大多数涉及人类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研究中，任命一个数据和安全监察委员会是不必要的。为了保证研究受到密切监控，以早期发现不良事件，申办者或主要研究者指定一个人负责，对认为需要改善的不良事件监测系统或知情同意过程、乃至对终止研究提出建议。</w:t>
      </w:r>
    </w:p>
    <w:p w14:paraId="46F6B573">
      <w:pPr>
        <w:pStyle w:val="32"/>
        <w:numPr>
          <w:ilvl w:val="0"/>
          <w:numId w:val="8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数据和安全监察委员会的职责</w:t>
      </w:r>
    </w:p>
    <w:p w14:paraId="019BD51F">
      <w:pPr>
        <w:pStyle w:val="32"/>
        <w:numPr>
          <w:ilvl w:val="0"/>
          <w:numId w:val="8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保护</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避免以往未知的不良反应。</w:t>
      </w:r>
    </w:p>
    <w:p w14:paraId="524BBFA8">
      <w:pPr>
        <w:pStyle w:val="32"/>
        <w:numPr>
          <w:ilvl w:val="0"/>
          <w:numId w:val="8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避免不必要地长时间接受疗效较差的治疗。</w:t>
      </w:r>
    </w:p>
    <w:p w14:paraId="3F046F1E">
      <w:pPr>
        <w:pStyle w:val="32"/>
        <w:numPr>
          <w:ilvl w:val="0"/>
          <w:numId w:val="8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通过对有关干预效应的数据进行中期分析，以保证研究性治疗一旦被证明有效，研究就不再继续进行。通常在一个随机化对照研究开始时，已建立了提前终止的标准。</w:t>
      </w:r>
    </w:p>
    <w:p w14:paraId="2827A419">
      <w:pPr>
        <w:pStyle w:val="32"/>
        <w:numPr>
          <w:ilvl w:val="0"/>
          <w:numId w:val="81"/>
        </w:numPr>
        <w:spacing w:after="0" w:line="240" w:lineRule="auto"/>
        <w:ind w:left="738" w:hanging="328"/>
        <w:rPr>
          <w:rStyle w:val="14"/>
          <w:rFonts w:ascii="宋体" w:hAnsi="宋体" w:eastAsia="宋体" w:cs="宋体"/>
          <w:sz w:val="21"/>
          <w:szCs w:val="21"/>
          <w:lang w:val="zh-CN"/>
        </w:rPr>
      </w:pPr>
      <w:r>
        <w:rPr>
          <w:rStyle w:val="14"/>
          <w:rFonts w:hint="eastAsia" w:ascii="宋体" w:hAnsi="宋体" w:eastAsia="宋体" w:cs="宋体"/>
          <w:sz w:val="21"/>
          <w:szCs w:val="21"/>
          <w:lang w:val="zh-CN"/>
        </w:rPr>
        <w:t>有些情况下，通过设定检验效能计算例数用来判断特定的临床研究显示研究性治疗有效的概率。如果概率很小，数据和安全监察委员会应建议终止临床研究，因为超过这个临界点再继续研究是不道德的。</w:t>
      </w:r>
    </w:p>
    <w:p w14:paraId="13CF108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3.3不良事件处理和报告</w:t>
      </w:r>
    </w:p>
    <w:p w14:paraId="09B9BC6D">
      <w:pPr>
        <w:pStyle w:val="32"/>
        <w:numPr>
          <w:ilvl w:val="0"/>
          <w:numId w:val="9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预期不良事件，以及不良事件风险最小化的措施，包括不良事件的医疗计划，揭</w:t>
      </w:r>
    </w:p>
    <w:p w14:paraId="357E499C">
      <w:pPr>
        <w:pStyle w:val="32"/>
        <w:spacing w:after="0" w:line="240" w:lineRule="auto"/>
        <w:ind w:firstLine="720"/>
        <w:rPr>
          <w:rStyle w:val="14"/>
          <w:rFonts w:ascii="宋体" w:hAnsi="宋体" w:eastAsia="宋体" w:cs="宋体"/>
          <w:sz w:val="21"/>
          <w:szCs w:val="21"/>
          <w:lang w:val="zh-CN"/>
        </w:rPr>
      </w:pPr>
      <w:r>
        <w:rPr>
          <w:rStyle w:val="14"/>
          <w:rFonts w:hint="eastAsia" w:ascii="宋体" w:hAnsi="宋体" w:eastAsia="宋体" w:cs="宋体"/>
          <w:sz w:val="21"/>
          <w:szCs w:val="21"/>
          <w:lang w:val="zh-CN"/>
        </w:rPr>
        <w:t>盲程序，中止研究的规定等。</w:t>
      </w:r>
    </w:p>
    <w:p w14:paraId="48DABF5C">
      <w:pPr>
        <w:pStyle w:val="32"/>
        <w:numPr>
          <w:ilvl w:val="0"/>
          <w:numId w:val="9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不良事件分级标准和归因标准。</w:t>
      </w:r>
    </w:p>
    <w:p w14:paraId="0AEC1686">
      <w:pPr>
        <w:pStyle w:val="32"/>
        <w:numPr>
          <w:ilvl w:val="0"/>
          <w:numId w:val="9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不同级别的不良事件报告程序。</w:t>
      </w:r>
    </w:p>
    <w:p w14:paraId="1E28CDF3">
      <w:pPr>
        <w:pStyle w:val="32"/>
        <w:spacing w:after="0" w:line="240" w:lineRule="auto"/>
        <w:rPr>
          <w:rStyle w:val="14"/>
          <w:rFonts w:ascii="宋体" w:hAnsi="宋体" w:eastAsia="宋体" w:cs="宋体"/>
          <w:sz w:val="21"/>
          <w:szCs w:val="21"/>
          <w:lang w:val="zh-CN"/>
        </w:rPr>
      </w:pPr>
    </w:p>
    <w:p w14:paraId="1E71B0C1">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六、特定人群的风险</w:t>
      </w:r>
    </w:p>
    <w:p w14:paraId="0A96AEE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某些领域的研究，如流行病学，遗传学或社会学，可能对团体、社会、或以人种或民族定义的人群的利益带来风险。可能发表的研究信息也许会给一个群体打上烙印，或使其成员受到歧视。这样的信息，可能正确或错误地提示，如某一人群的酒精中毒，精神病或性传播疾病的发病率比平均发病率要高，或特别易患某些遗传性疾病。实施这样的研究计划应注意这类问题：</w:t>
      </w:r>
    </w:p>
    <w:p w14:paraId="51C0EF78">
      <w:pPr>
        <w:pStyle w:val="32"/>
        <w:numPr>
          <w:ilvl w:val="0"/>
          <w:numId w:val="9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需要注意研究期间和研究之后的保密。</w:t>
      </w:r>
    </w:p>
    <w:p w14:paraId="71AFABBA">
      <w:pPr>
        <w:pStyle w:val="32"/>
        <w:numPr>
          <w:ilvl w:val="0"/>
          <w:numId w:val="9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需要注意要以一种尊重所有有关各方利益的方式发表研究结果，或者在某些情况下不发表研究结果。</w:t>
      </w:r>
    </w:p>
    <w:p w14:paraId="7B5BF64D">
      <w:pPr>
        <w:pStyle w:val="32"/>
        <w:numPr>
          <w:ilvl w:val="0"/>
          <w:numId w:val="9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伦理委员会应确认所有有关各方的利益都得到了适当考虑；明智的做法通常是征求个体知情同意、再辅以社会咨询。</w:t>
      </w:r>
    </w:p>
    <w:p w14:paraId="1204F25E">
      <w:pPr>
        <w:pStyle w:val="32"/>
        <w:spacing w:after="0" w:line="240" w:lineRule="auto"/>
        <w:rPr>
          <w:rStyle w:val="14"/>
          <w:rFonts w:ascii="宋体" w:hAnsi="宋体" w:eastAsia="宋体" w:cs="宋体"/>
          <w:sz w:val="21"/>
          <w:szCs w:val="21"/>
          <w:lang w:val="zh-CN"/>
        </w:rPr>
      </w:pPr>
    </w:p>
    <w:p w14:paraId="62D2C681">
      <w:pPr>
        <w:pStyle w:val="32"/>
        <w:spacing w:after="0" w:line="240" w:lineRule="auto"/>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第三章</w:t>
      </w:r>
      <w:r>
        <w:rPr>
          <w:rStyle w:val="14"/>
          <w:rFonts w:hint="eastAsia" w:ascii="宋体" w:hAnsi="宋体" w:eastAsia="宋体" w:cs="宋体"/>
          <w:sz w:val="28"/>
          <w:szCs w:val="28"/>
        </w:rPr>
        <w:t xml:space="preserve"> </w:t>
      </w:r>
      <w:r>
        <w:rPr>
          <w:rStyle w:val="30"/>
          <w:rFonts w:hint="eastAsia" w:ascii="宋体" w:hAnsi="宋体" w:eastAsia="宋体" w:cs="宋体"/>
          <w:sz w:val="28"/>
          <w:szCs w:val="28"/>
          <w:lang w:val="zh-CN"/>
        </w:rPr>
        <w:t>试验参与者</w:t>
      </w:r>
      <w:r>
        <w:rPr>
          <w:rStyle w:val="14"/>
          <w:rFonts w:hint="eastAsia" w:ascii="宋体" w:hAnsi="宋体" w:eastAsia="宋体" w:cs="宋体"/>
          <w:sz w:val="28"/>
          <w:szCs w:val="28"/>
          <w:lang w:val="zh-CN"/>
        </w:rPr>
        <w:t>的招募</w:t>
      </w:r>
    </w:p>
    <w:p w14:paraId="4B163235">
      <w:pPr>
        <w:pStyle w:val="32"/>
        <w:spacing w:after="0" w:line="240" w:lineRule="auto"/>
        <w:jc w:val="center"/>
        <w:rPr>
          <w:rStyle w:val="14"/>
          <w:rFonts w:ascii="宋体" w:hAnsi="宋体" w:eastAsia="宋体" w:cs="宋体"/>
          <w:sz w:val="21"/>
          <w:szCs w:val="21"/>
          <w:lang w:val="zh-CN"/>
        </w:rPr>
      </w:pPr>
    </w:p>
    <w:p w14:paraId="2D90F1F3">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一、原则</w:t>
      </w:r>
    </w:p>
    <w:p w14:paraId="2C9EB0D3">
      <w:pPr>
        <w:pStyle w:val="32"/>
        <w:numPr>
          <w:ilvl w:val="0"/>
          <w:numId w:val="92"/>
        </w:numPr>
        <w:spacing w:after="0" w:line="240" w:lineRule="auto"/>
        <w:ind w:hanging="385"/>
        <w:rPr>
          <w:rStyle w:val="14"/>
          <w:rFonts w:ascii="宋体" w:hAnsi="宋体" w:eastAsia="宋体" w:cs="宋体"/>
          <w:sz w:val="21"/>
          <w:szCs w:val="21"/>
          <w:lang w:val="zh-CN"/>
        </w:rPr>
      </w:pPr>
      <w:r>
        <w:rPr>
          <w:rStyle w:val="14"/>
          <w:rFonts w:hint="eastAsia" w:ascii="宋体" w:hAnsi="宋体" w:eastAsia="宋体" w:cs="宋体"/>
          <w:sz w:val="21"/>
          <w:szCs w:val="21"/>
          <w:lang w:val="zh-CN"/>
        </w:rPr>
        <w:t>应通过公平分配研究负担和利益的方式，选择研究的</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的人群。</w:t>
      </w:r>
    </w:p>
    <w:p w14:paraId="5EF2554F">
      <w:pPr>
        <w:pStyle w:val="32"/>
        <w:numPr>
          <w:ilvl w:val="0"/>
          <w:numId w:val="9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在征得参与研究的知情同意时，如果潜在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与医生有依赖关系，或者可能会被迫表示同意，则医生应该特别谨慎。在这种情形下，应该由一位完全独立于这种关系的具有合适资质的人员去征得知情同意。</w:t>
      </w:r>
    </w:p>
    <w:p w14:paraId="11BF9C8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二、审查要点</w:t>
      </w:r>
    </w:p>
    <w:p w14:paraId="7EE5B9C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招募合格的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是临床试验过程中至关重要的、而且可能是最困难、最富有挑战性的工作。作为伦理审查的一部分，招募材料必须经过伦理委员会的审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和批准，并且这些文件的任何修改都必须作为试验的正式修改再次提交审查。</w:t>
      </w:r>
    </w:p>
    <w:p w14:paraId="4E15822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1.招募方式</w:t>
      </w:r>
    </w:p>
    <w:p w14:paraId="2A2EF11B">
      <w:pPr>
        <w:pStyle w:val="32"/>
        <w:numPr>
          <w:ilvl w:val="0"/>
          <w:numId w:val="9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招募</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的步骤，媒介（如广告）或医疗过程。</w:t>
      </w:r>
    </w:p>
    <w:p w14:paraId="65E4519A">
      <w:pPr>
        <w:pStyle w:val="32"/>
        <w:numPr>
          <w:ilvl w:val="0"/>
          <w:numId w:val="9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尊重隐私的原则</w:t>
      </w:r>
    </w:p>
    <w:p w14:paraId="031B7503">
      <w:pPr>
        <w:pStyle w:val="32"/>
        <w:numPr>
          <w:ilvl w:val="0"/>
          <w:numId w:val="8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在招募期间采取的保护隐私和机密的措施。</w:t>
      </w:r>
    </w:p>
    <w:p w14:paraId="4F64B56D">
      <w:pPr>
        <w:pStyle w:val="32"/>
        <w:numPr>
          <w:ilvl w:val="0"/>
          <w:numId w:val="9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合理说服、自愿参加的原则</w:t>
      </w:r>
    </w:p>
    <w:p w14:paraId="06A3C780">
      <w:pPr>
        <w:pStyle w:val="32"/>
        <w:numPr>
          <w:ilvl w:val="0"/>
          <w:numId w:val="89"/>
        </w:numPr>
        <w:spacing w:after="0" w:line="240" w:lineRule="auto"/>
        <w:ind w:left="1140" w:hanging="420"/>
        <w:rPr>
          <w:rStyle w:val="14"/>
          <w:rFonts w:ascii="宋体" w:hAnsi="宋体" w:eastAsia="宋体" w:cs="宋体"/>
          <w:sz w:val="21"/>
          <w:szCs w:val="21"/>
          <w:lang w:val="zh-CN"/>
        </w:rPr>
      </w:pPr>
      <w:r>
        <w:rPr>
          <w:rStyle w:val="14"/>
          <w:rFonts w:hint="eastAsia" w:ascii="宋体" w:hAnsi="宋体" w:eastAsia="宋体" w:cs="宋体"/>
          <w:sz w:val="21"/>
          <w:szCs w:val="21"/>
          <w:lang w:val="zh-CN"/>
        </w:rPr>
        <w:t>医生/研究者在知情同意过程中必须向</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保证，不论他们决定参加研究与否，都不会影响医患关系或他们应得的其他利益。</w:t>
      </w:r>
    </w:p>
    <w:p w14:paraId="5429373D">
      <w:pPr>
        <w:pStyle w:val="32"/>
        <w:numPr>
          <w:ilvl w:val="0"/>
          <w:numId w:val="8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不可以诱导一位近亲或行政领导去影响一个可能的</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对象的决定。</w:t>
      </w:r>
    </w:p>
    <w:p w14:paraId="4C3912C6">
      <w:pPr>
        <w:pStyle w:val="32"/>
        <w:numPr>
          <w:ilvl w:val="0"/>
          <w:numId w:val="9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避免强迫和不正当的影响</w:t>
      </w:r>
    </w:p>
    <w:p w14:paraId="44921A2F">
      <w:pPr>
        <w:pStyle w:val="32"/>
        <w:numPr>
          <w:ilvl w:val="0"/>
          <w:numId w:val="89"/>
        </w:numPr>
        <w:tabs>
          <w:tab w:val="left" w:pos="851"/>
          <w:tab w:val="left" w:pos="993"/>
        </w:tabs>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不可以夸大研究的潜在受益，不可以承诺受益；不可以低估研究的风险。研究</w:t>
      </w:r>
    </w:p>
    <w:p w14:paraId="34035843">
      <w:pPr>
        <w:pStyle w:val="32"/>
        <w:spacing w:after="0" w:line="240" w:lineRule="auto"/>
        <w:ind w:left="624" w:firstLine="420"/>
        <w:rPr>
          <w:rStyle w:val="14"/>
          <w:rFonts w:ascii="宋体" w:hAnsi="宋体" w:eastAsia="宋体" w:cs="宋体"/>
          <w:sz w:val="21"/>
          <w:szCs w:val="21"/>
          <w:lang w:val="zh-CN"/>
        </w:rPr>
      </w:pPr>
      <w:r>
        <w:rPr>
          <w:rStyle w:val="14"/>
          <w:rFonts w:hint="eastAsia" w:ascii="宋体" w:hAnsi="宋体" w:eastAsia="宋体" w:cs="宋体"/>
          <w:sz w:val="21"/>
          <w:szCs w:val="21"/>
          <w:lang w:val="zh-CN"/>
        </w:rPr>
        <w:t>者不应做出关于研究的受益、风险或不便的不合理的保证。</w:t>
      </w:r>
    </w:p>
    <w:p w14:paraId="7F5DDE59">
      <w:pPr>
        <w:pStyle w:val="32"/>
        <w:numPr>
          <w:ilvl w:val="0"/>
          <w:numId w:val="9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招募者的身份是否会对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造成不正当的影响：</w:t>
      </w:r>
    </w:p>
    <w:p w14:paraId="4F27FEA2">
      <w:pPr>
        <w:pStyle w:val="32"/>
        <w:numPr>
          <w:ilvl w:val="0"/>
          <w:numId w:val="9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患者与医生之间的依赖关系：患有严重的、可能致残或致命疾病的患者，</w:t>
      </w:r>
    </w:p>
    <w:p w14:paraId="4C6061E5">
      <w:pPr>
        <w:pStyle w:val="32"/>
        <w:spacing w:after="0" w:line="240" w:lineRule="auto"/>
        <w:ind w:firstLine="1432" w:firstLineChars="682"/>
        <w:rPr>
          <w:rStyle w:val="14"/>
          <w:rFonts w:ascii="宋体" w:hAnsi="宋体" w:eastAsia="宋体" w:cs="宋体"/>
          <w:sz w:val="21"/>
          <w:szCs w:val="21"/>
          <w:lang w:val="zh-CN"/>
        </w:rPr>
      </w:pPr>
      <w:r>
        <w:rPr>
          <w:rStyle w:val="14"/>
          <w:rFonts w:hint="eastAsia" w:ascii="宋体" w:hAnsi="宋体" w:eastAsia="宋体" w:cs="宋体"/>
          <w:sz w:val="21"/>
          <w:szCs w:val="21"/>
          <w:lang w:val="zh-CN"/>
        </w:rPr>
        <w:t>容易与医生产生很强的依赖关系。</w:t>
      </w:r>
    </w:p>
    <w:p w14:paraId="28986E40">
      <w:pPr>
        <w:pStyle w:val="32"/>
        <w:numPr>
          <w:ilvl w:val="0"/>
          <w:numId w:val="9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患者选择医生的自由度：如住院患者不能自由选择管床医生。</w:t>
      </w:r>
    </w:p>
    <w:p w14:paraId="7ACA61D7">
      <w:pPr>
        <w:pStyle w:val="32"/>
        <w:numPr>
          <w:ilvl w:val="0"/>
          <w:numId w:val="9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如果患者与医生之间有很强的依赖关系，且不能自由选择诊治医生，就可能存在对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产生不正当影响的情况。伦理委员会可以考虑由与患者不存在直接诊治关系的研究者来获取知情同意。</w:t>
      </w:r>
    </w:p>
    <w:p w14:paraId="41187815">
      <w:pPr>
        <w:pStyle w:val="32"/>
        <w:spacing w:after="0" w:line="240" w:lineRule="auto"/>
        <w:rPr>
          <w:rStyle w:val="14"/>
          <w:rFonts w:ascii="宋体" w:hAnsi="宋体" w:eastAsia="宋体" w:cs="宋体"/>
          <w:sz w:val="21"/>
          <w:szCs w:val="21"/>
          <w:lang w:val="zh-CN"/>
        </w:rPr>
      </w:pPr>
    </w:p>
    <w:p w14:paraId="62C38496">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w:t>
      </w:r>
      <w:r>
        <w:rPr>
          <w:rStyle w:val="30"/>
          <w:rFonts w:hint="eastAsia" w:ascii="宋体" w:hAnsi="宋体" w:eastAsia="宋体" w:cs="宋体"/>
          <w:sz w:val="21"/>
          <w:szCs w:val="21"/>
          <w:lang w:val="zh-CN"/>
        </w:rPr>
        <w:t xml:space="preserve"> 试验参与</w:t>
      </w:r>
      <w:r>
        <w:rPr>
          <w:rStyle w:val="14"/>
          <w:rFonts w:hint="eastAsia" w:ascii="宋体" w:hAnsi="宋体" w:eastAsia="宋体" w:cs="宋体"/>
          <w:sz w:val="21"/>
          <w:szCs w:val="21"/>
          <w:lang w:val="zh-CN"/>
        </w:rPr>
        <w:t>人群的选择</w:t>
      </w:r>
    </w:p>
    <w:p w14:paraId="01C248DC">
      <w:pPr>
        <w:pStyle w:val="32"/>
        <w:numPr>
          <w:ilvl w:val="0"/>
          <w:numId w:val="9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公平的原则：对所有</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，不分群体和等级，其负担均不应超过其参加研究公平承担的负担。同样，任何人群都不应被剥夺其公平地获得研究利益，包括参加研究的直接受益，以及受益于研究所产生的新知识。受益和负担的公平分担的审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主要考虑：</w:t>
      </w:r>
    </w:p>
    <w:p w14:paraId="1571D5A6">
      <w:pPr>
        <w:pStyle w:val="32"/>
        <w:numPr>
          <w:ilvl w:val="0"/>
          <w:numId w:val="9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研究目的是否证明研究目标人群的选择是正当的。</w:t>
      </w:r>
    </w:p>
    <w:p w14:paraId="4B1DFDD9">
      <w:pPr>
        <w:pStyle w:val="32"/>
        <w:numPr>
          <w:ilvl w:val="0"/>
          <w:numId w:val="9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仅因为穷人更容易受到小额报酬的引诱而参加研究，就有选择地招募穷人作为</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是不公平的。</w:t>
      </w:r>
    </w:p>
    <w:p w14:paraId="58A055AE">
      <w:pPr>
        <w:pStyle w:val="32"/>
        <w:numPr>
          <w:ilvl w:val="0"/>
          <w:numId w:val="10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有选择地招募穷人作</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参加针对该人群普遍存在的问题（如营养不良）的研究就不是不公平的。</w:t>
      </w:r>
    </w:p>
    <w:p w14:paraId="1A03EAFA">
      <w:pPr>
        <w:pStyle w:val="32"/>
        <w:numPr>
          <w:ilvl w:val="0"/>
          <w:numId w:val="9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研究的受益和负担是否在目标疾病人群中公平分配。从研究的整个地理区域内的合格人群中招募</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时，不应考虑种族，人种，经济地位或性别，除非存在一个合理的科学理由需要以另外的方式去做。</w:t>
      </w:r>
    </w:p>
    <w:p w14:paraId="235A287A">
      <w:pPr>
        <w:pStyle w:val="32"/>
        <w:numPr>
          <w:ilvl w:val="0"/>
          <w:numId w:val="9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承担研究风险的特定</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应确定</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群体是否从研究获益。</w:t>
      </w:r>
    </w:p>
    <w:p w14:paraId="54CF97E0">
      <w:pPr>
        <w:pStyle w:val="32"/>
        <w:numPr>
          <w:ilvl w:val="0"/>
          <w:numId w:val="9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限制某些可能受益的人群参加研究的理由必须是合理的。弱势群体的成员也有</w:t>
      </w:r>
    </w:p>
    <w:p w14:paraId="3B02581F">
      <w:pPr>
        <w:pStyle w:val="32"/>
        <w:spacing w:after="0" w:line="240" w:lineRule="auto"/>
        <w:ind w:left="420" w:firstLine="720"/>
        <w:rPr>
          <w:rStyle w:val="14"/>
          <w:rFonts w:ascii="宋体" w:hAnsi="宋体" w:eastAsia="宋体" w:cs="宋体"/>
          <w:sz w:val="21"/>
          <w:szCs w:val="21"/>
          <w:lang w:val="zh-CN"/>
        </w:rPr>
      </w:pPr>
      <w:r>
        <w:rPr>
          <w:rStyle w:val="14"/>
          <w:rFonts w:hint="eastAsia" w:ascii="宋体" w:hAnsi="宋体" w:eastAsia="宋体" w:cs="宋体"/>
          <w:sz w:val="21"/>
          <w:szCs w:val="21"/>
          <w:lang w:val="zh-CN"/>
        </w:rPr>
        <w:t>同样的权利从对非弱势群体显示有治疗效应的研究干预措施中受益,特别是当</w:t>
      </w:r>
    </w:p>
    <w:p w14:paraId="63FB7EBE">
      <w:pPr>
        <w:pStyle w:val="32"/>
        <w:spacing w:after="0" w:line="240" w:lineRule="auto"/>
        <w:ind w:left="420" w:firstLine="720"/>
        <w:rPr>
          <w:rStyle w:val="14"/>
          <w:rFonts w:ascii="宋体" w:hAnsi="宋体" w:eastAsia="宋体" w:cs="宋体"/>
          <w:sz w:val="21"/>
          <w:szCs w:val="21"/>
          <w:lang w:val="zh-CN"/>
        </w:rPr>
      </w:pPr>
      <w:r>
        <w:rPr>
          <w:rStyle w:val="14"/>
          <w:rFonts w:hint="eastAsia" w:ascii="宋体" w:hAnsi="宋体" w:eastAsia="宋体" w:cs="宋体"/>
          <w:sz w:val="21"/>
          <w:szCs w:val="21"/>
          <w:lang w:val="zh-CN"/>
        </w:rPr>
        <w:t>没有更好的或等效的治疗方法时。</w:t>
      </w:r>
    </w:p>
    <w:p w14:paraId="423A24ED">
      <w:pPr>
        <w:pStyle w:val="32"/>
        <w:numPr>
          <w:ilvl w:val="0"/>
          <w:numId w:val="10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代表性的原则：代表性人群通常是指研究应该包括男性、女性、少数民族和各年龄参加者，使其与试验疾病的人群分布比例保持一致。这样研究的发现可以使具有所研究疾病风险的所有人受益。因此，研究包含人群的代表性不仅是重要的而且有时是强制性的。研究人群的代表性的审查主要考虑：</w:t>
      </w:r>
    </w:p>
    <w:p w14:paraId="4BA77323">
      <w:pPr>
        <w:pStyle w:val="32"/>
        <w:numPr>
          <w:ilvl w:val="1"/>
          <w:numId w:val="101"/>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的种族、年龄和性别分布是否合适，是否符合代表性原则。</w:t>
      </w:r>
    </w:p>
    <w:p w14:paraId="71F8D3CA">
      <w:pPr>
        <w:pStyle w:val="32"/>
        <w:numPr>
          <w:ilvl w:val="0"/>
          <w:numId w:val="102"/>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群涉及弱势群体，参见第八章“涉及弱势群体的研究”。</w:t>
      </w:r>
    </w:p>
    <w:p w14:paraId="71E1D08F">
      <w:pPr>
        <w:pStyle w:val="32"/>
        <w:spacing w:after="0" w:line="240" w:lineRule="auto"/>
        <w:rPr>
          <w:rStyle w:val="14"/>
          <w:rFonts w:ascii="宋体" w:hAnsi="宋体" w:eastAsia="宋体" w:cs="宋体"/>
          <w:sz w:val="21"/>
          <w:szCs w:val="21"/>
          <w:lang w:val="zh-CN"/>
        </w:rPr>
      </w:pPr>
    </w:p>
    <w:p w14:paraId="7F0AF89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3.激励与补偿</w:t>
      </w:r>
    </w:p>
    <w:p w14:paraId="62F0397C">
      <w:pPr>
        <w:pStyle w:val="32"/>
        <w:numPr>
          <w:ilvl w:val="0"/>
          <w:numId w:val="10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合理补偿的原则</w:t>
      </w:r>
    </w:p>
    <w:p w14:paraId="34DA2888">
      <w:pPr>
        <w:pStyle w:val="32"/>
        <w:numPr>
          <w:ilvl w:val="0"/>
          <w:numId w:val="10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所有提供给</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补偿和免费医疗服务应是合理的，并必须得到伦理委员会批准。</w:t>
      </w:r>
    </w:p>
    <w:p w14:paraId="3051C51F">
      <w:pPr>
        <w:pStyle w:val="32"/>
        <w:numPr>
          <w:ilvl w:val="0"/>
          <w:numId w:val="10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补偿合理性的评估</w:t>
      </w:r>
    </w:p>
    <w:p w14:paraId="4F0DB39B">
      <w:pPr>
        <w:pStyle w:val="32"/>
        <w:numPr>
          <w:ilvl w:val="0"/>
          <w:numId w:val="105"/>
        </w:numPr>
        <w:spacing w:after="0" w:line="240" w:lineRule="auto"/>
        <w:ind w:left="1140" w:hanging="420"/>
        <w:rPr>
          <w:rStyle w:val="14"/>
          <w:rFonts w:ascii="宋体" w:hAnsi="宋体" w:eastAsia="宋体" w:cs="宋体"/>
          <w:sz w:val="21"/>
          <w:szCs w:val="21"/>
          <w:lang w:val="zh-CN"/>
        </w:rPr>
      </w:pPr>
      <w:r>
        <w:rPr>
          <w:rStyle w:val="14"/>
          <w:rFonts w:hint="eastAsia" w:ascii="宋体" w:hAnsi="宋体" w:eastAsia="宋体" w:cs="宋体"/>
          <w:sz w:val="21"/>
          <w:szCs w:val="21"/>
          <w:lang w:val="zh-CN"/>
        </w:rPr>
        <w:t>根据研究的复杂程度，占用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的时间，预期的风险、不适和不便，</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参加研究的额外开支等，审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补偿数目是否合理。</w:t>
      </w:r>
    </w:p>
    <w:p w14:paraId="5BB018E6">
      <w:pPr>
        <w:pStyle w:val="32"/>
        <w:numPr>
          <w:ilvl w:val="0"/>
          <w:numId w:val="10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根据特定的文化背景(当地社会的礼物互赠及其他风俗和传统）和被提供补偿人群的经济状况进行评估，以确定补偿是否构成不适当影响。是否只有贫困者同意参加，或具有良好医疗条件者是否也同意参加。</w:t>
      </w:r>
    </w:p>
    <w:p w14:paraId="0DB8165C">
      <w:pPr>
        <w:pStyle w:val="32"/>
        <w:numPr>
          <w:ilvl w:val="0"/>
          <w:numId w:val="10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当不能提供直接受益前景的研究干预措施，或治疗过程的风险超过最小风险应该谨慎地避免过度的物质利诱。</w:t>
      </w:r>
    </w:p>
    <w:p w14:paraId="6A3E82FD">
      <w:pPr>
        <w:pStyle w:val="32"/>
        <w:numPr>
          <w:ilvl w:val="0"/>
          <w:numId w:val="10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可接受的免费医疗服务和补偿</w:t>
      </w:r>
    </w:p>
    <w:p w14:paraId="7B340D42">
      <w:pPr>
        <w:pStyle w:val="32"/>
        <w:numPr>
          <w:ilvl w:val="0"/>
          <w:numId w:val="10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出于研究目的，而非常规医疗所必需的理化检</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和治疗，一般被认为是应该免费的。</w:t>
      </w:r>
    </w:p>
    <w:p w14:paraId="16ED85A7">
      <w:pPr>
        <w:pStyle w:val="32"/>
        <w:numPr>
          <w:ilvl w:val="0"/>
          <w:numId w:val="10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与研究有关的收入损失、路费及其他开支。</w:t>
      </w:r>
    </w:p>
    <w:p w14:paraId="312D2811">
      <w:pPr>
        <w:pStyle w:val="32"/>
        <w:numPr>
          <w:ilvl w:val="0"/>
          <w:numId w:val="10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没有从研究中直接受益者，可因带来的不便和花费的时间而被付给补偿。</w:t>
      </w:r>
    </w:p>
    <w:p w14:paraId="2C66EA32">
      <w:pPr>
        <w:pStyle w:val="32"/>
        <w:numPr>
          <w:ilvl w:val="0"/>
          <w:numId w:val="10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注意:方案和知情同意书所承诺的免费医疗服务和补偿，应有相应的经费预算确保承诺的落实。</w:t>
      </w:r>
    </w:p>
    <w:p w14:paraId="033347BA">
      <w:pPr>
        <w:pStyle w:val="32"/>
        <w:numPr>
          <w:ilvl w:val="0"/>
          <w:numId w:val="10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不可接受的免费医疗服务和补偿</w:t>
      </w:r>
    </w:p>
    <w:p w14:paraId="61534997">
      <w:pPr>
        <w:pStyle w:val="32"/>
        <w:numPr>
          <w:ilvl w:val="0"/>
          <w:numId w:val="10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当提供的钱或实物的补偿过大，或其他的免费医疗服务过多，足以诱惑</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 xml:space="preserve">愿意冒险参加研究（过度劝诱）。     </w:t>
      </w:r>
    </w:p>
    <w:p w14:paraId="533B0757">
      <w:pPr>
        <w:pStyle w:val="32"/>
        <w:numPr>
          <w:ilvl w:val="0"/>
          <w:numId w:val="10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不给予</w:t>
      </w:r>
      <w:r>
        <w:rPr>
          <w:rStyle w:val="14"/>
          <w:rFonts w:hint="eastAsia" w:hAnsi="宋体" w:eastAsia="宋体" w:cs="宋体"/>
          <w:sz w:val="21"/>
          <w:szCs w:val="21"/>
          <w:lang w:val="zh-CN"/>
        </w:rPr>
        <w:t>试验参与者</w:t>
      </w:r>
      <w:r>
        <w:rPr>
          <w:rStyle w:val="14"/>
          <w:rFonts w:hint="eastAsia" w:ascii="宋体" w:hAnsi="宋体" w:eastAsia="宋体" w:cs="宋体"/>
          <w:sz w:val="21"/>
          <w:szCs w:val="21"/>
          <w:lang w:val="zh-CN"/>
        </w:rPr>
        <w:t>激励与补偿是否合理</w:t>
      </w:r>
    </w:p>
    <w:p w14:paraId="1A956B26">
      <w:pPr>
        <w:pStyle w:val="32"/>
        <w:numPr>
          <w:ilvl w:val="0"/>
          <w:numId w:val="10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没有直接受益前景的研究，不给予</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合理的补偿，可能被认为"剥削利用" 了</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w:t>
      </w:r>
    </w:p>
    <w:p w14:paraId="713C62C6">
      <w:pPr>
        <w:pStyle w:val="32"/>
        <w:numPr>
          <w:ilvl w:val="0"/>
          <w:numId w:val="10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对无行为能力者的法定代理人</w:t>
      </w:r>
    </w:p>
    <w:p w14:paraId="34A63B32">
      <w:pPr>
        <w:pStyle w:val="32"/>
        <w:numPr>
          <w:ilvl w:val="0"/>
          <w:numId w:val="10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无行为能力的人容易被其法定代理人为经济获利而利用。代表无行为能力者的法定代理人被要求给予其参加研究的许可，法定代理人除了陪同参加研究的交通费用和有关开支外不应得到其他补偿。</w:t>
      </w:r>
    </w:p>
    <w:p w14:paraId="6839AAFA">
      <w:pPr>
        <w:pStyle w:val="32"/>
        <w:numPr>
          <w:ilvl w:val="0"/>
          <w:numId w:val="10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退出研究的补偿支付</w:t>
      </w:r>
    </w:p>
    <w:p w14:paraId="07613368">
      <w:pPr>
        <w:pStyle w:val="32"/>
        <w:numPr>
          <w:ilvl w:val="0"/>
          <w:numId w:val="109"/>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因与研究有关的原因（如药物副作用、健康原因）退出研究，可作为完成全部研究而获补偿。</w:t>
      </w:r>
    </w:p>
    <w:p w14:paraId="36FDD68D">
      <w:pPr>
        <w:pStyle w:val="32"/>
        <w:numPr>
          <w:ilvl w:val="0"/>
          <w:numId w:val="110"/>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因其他理由退出研究，应按参加研究工作量的比例而获得</w:t>
      </w:r>
      <w:r>
        <w:rPr>
          <w:rStyle w:val="14"/>
          <w:rFonts w:hint="eastAsia" w:hAnsi="宋体" w:eastAsia="宋体" w:cs="宋体"/>
          <w:sz w:val="21"/>
          <w:szCs w:val="21"/>
        </w:rPr>
        <w:t>补偿</w:t>
      </w:r>
      <w:r>
        <w:rPr>
          <w:rStyle w:val="14"/>
          <w:rFonts w:hint="eastAsia" w:ascii="宋体" w:hAnsi="宋体" w:eastAsia="宋体" w:cs="宋体"/>
          <w:sz w:val="21"/>
          <w:szCs w:val="21"/>
          <w:lang w:val="zh-CN"/>
        </w:rPr>
        <w:t>。</w:t>
      </w:r>
    </w:p>
    <w:p w14:paraId="431CBAC9">
      <w:pPr>
        <w:pStyle w:val="32"/>
        <w:spacing w:after="0" w:line="240" w:lineRule="auto"/>
        <w:rPr>
          <w:rStyle w:val="14"/>
          <w:rFonts w:ascii="宋体" w:hAnsi="宋体" w:eastAsia="宋体" w:cs="宋体"/>
          <w:sz w:val="21"/>
          <w:szCs w:val="21"/>
          <w:lang w:val="zh-CN"/>
        </w:rPr>
      </w:pPr>
    </w:p>
    <w:p w14:paraId="40368983">
      <w:pPr>
        <w:pStyle w:val="32"/>
        <w:spacing w:after="0" w:line="240" w:lineRule="auto"/>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第四章</w:t>
      </w:r>
      <w:r>
        <w:rPr>
          <w:rStyle w:val="14"/>
          <w:rFonts w:hint="eastAsia" w:ascii="宋体" w:hAnsi="宋体" w:eastAsia="宋体" w:cs="宋体"/>
          <w:sz w:val="28"/>
          <w:szCs w:val="28"/>
        </w:rPr>
        <w:t xml:space="preserve"> </w:t>
      </w:r>
      <w:r>
        <w:rPr>
          <w:rStyle w:val="14"/>
          <w:rFonts w:hint="eastAsia" w:ascii="宋体" w:hAnsi="宋体" w:eastAsia="宋体" w:cs="宋体"/>
          <w:sz w:val="28"/>
          <w:szCs w:val="28"/>
          <w:lang w:val="zh-CN"/>
        </w:rPr>
        <w:t>知情同意书告知的信息</w:t>
      </w:r>
    </w:p>
    <w:p w14:paraId="07462DED">
      <w:pPr>
        <w:pStyle w:val="32"/>
        <w:spacing w:after="0" w:line="240" w:lineRule="auto"/>
        <w:jc w:val="center"/>
        <w:rPr>
          <w:rStyle w:val="14"/>
          <w:rFonts w:ascii="宋体" w:hAnsi="宋体" w:eastAsia="宋体" w:cs="宋体"/>
          <w:sz w:val="21"/>
          <w:szCs w:val="21"/>
          <w:lang w:val="zh-CN"/>
        </w:rPr>
      </w:pPr>
    </w:p>
    <w:p w14:paraId="2A5C8D9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一、原则</w:t>
      </w:r>
    </w:p>
    <w:p w14:paraId="3BB02E3F">
      <w:pPr>
        <w:pStyle w:val="32"/>
        <w:numPr>
          <w:ilvl w:val="0"/>
          <w:numId w:val="11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在涉及有行为能力</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的医学研究中，每个潜在的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都必须被充分告知研究目的、方法、资金来源、任何可能的利益冲突、研究者所属单位、研究的预期受益和潜在风险、研究可能引起的不适以及任何其他相关方面的信息。必须告知潜在的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，他们有权拒绝参加研究，或有权在任何时候撤回参与研究的同意而不受报复。</w:t>
      </w:r>
    </w:p>
    <w:p w14:paraId="70EB0BAA">
      <w:pPr>
        <w:pStyle w:val="32"/>
        <w:numPr>
          <w:ilvl w:val="0"/>
          <w:numId w:val="11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医生必须充分告知病人医疗中的哪些方面与研究有关。医生绝不能因为病人拒绝参与研究或决定退出研究而影响医患关系。</w:t>
      </w:r>
    </w:p>
    <w:p w14:paraId="042B5E5D">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二、审查要点</w:t>
      </w:r>
    </w:p>
    <w:p w14:paraId="0ECFD4F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1.实验性研究应告知</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的信息（ICH GCP）</w:t>
      </w:r>
    </w:p>
    <w:p w14:paraId="56294CD6">
      <w:pPr>
        <w:pStyle w:val="32"/>
        <w:numPr>
          <w:ilvl w:val="0"/>
          <w:numId w:val="11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试验为研究性质。</w:t>
      </w:r>
    </w:p>
    <w:p w14:paraId="0975906D">
      <w:pPr>
        <w:pStyle w:val="32"/>
        <w:numPr>
          <w:ilvl w:val="0"/>
          <w:numId w:val="11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 研究目的。</w:t>
      </w:r>
    </w:p>
    <w:p w14:paraId="7E326189">
      <w:pPr>
        <w:pStyle w:val="32"/>
        <w:numPr>
          <w:ilvl w:val="0"/>
          <w:numId w:val="11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 试验治疗，以及随机分到各组的可能性。</w:t>
      </w:r>
    </w:p>
    <w:p w14:paraId="6DD4D0F5">
      <w:pPr>
        <w:pStyle w:val="32"/>
        <w:numPr>
          <w:ilvl w:val="0"/>
          <w:numId w:val="11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 所需遵循的试验程序，包括所有侵入性操作。</w:t>
      </w:r>
    </w:p>
    <w:p w14:paraId="18614184">
      <w:pPr>
        <w:pStyle w:val="32"/>
        <w:numPr>
          <w:ilvl w:val="0"/>
          <w:numId w:val="112"/>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的责任。</w:t>
      </w:r>
    </w:p>
    <w:p w14:paraId="661B17D4">
      <w:pPr>
        <w:pStyle w:val="32"/>
        <w:numPr>
          <w:ilvl w:val="0"/>
          <w:numId w:val="11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 试验性干预措施程序的说明。</w:t>
      </w:r>
    </w:p>
    <w:p w14:paraId="386E06AB">
      <w:pPr>
        <w:pStyle w:val="32"/>
        <w:numPr>
          <w:ilvl w:val="0"/>
          <w:numId w:val="11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与试验相关的预期风险和不适（必要时，包括对胚胎、胎儿或哺乳婴儿）。</w:t>
      </w:r>
    </w:p>
    <w:p w14:paraId="7002A21D">
      <w:pPr>
        <w:pStyle w:val="32"/>
        <w:numPr>
          <w:ilvl w:val="0"/>
          <w:numId w:val="11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应十分客观地告知试验干预的细节，它可能带来的疼痛和不适，以及已知的风险和可能的伤害。</w:t>
      </w:r>
    </w:p>
    <w:p w14:paraId="30122421">
      <w:pPr>
        <w:pStyle w:val="32"/>
        <w:numPr>
          <w:ilvl w:val="0"/>
          <w:numId w:val="11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HIV/AIDS疫苗的研究，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应得到忠告，除非他们采取预防措施，否则仍有患病的风险。</w:t>
      </w:r>
    </w:p>
    <w:p w14:paraId="4300C78D">
      <w:pPr>
        <w:pStyle w:val="32"/>
        <w:numPr>
          <w:ilvl w:val="0"/>
          <w:numId w:val="11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合理预期的受益。如果对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没有预期受益，应加以告知。</w:t>
      </w:r>
    </w:p>
    <w:p w14:paraId="0FF44398">
      <w:pPr>
        <w:pStyle w:val="32"/>
        <w:numPr>
          <w:ilvl w:val="0"/>
          <w:numId w:val="114"/>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可能获得的其他备选治疗或疗法，及其重要的受益和风险。</w:t>
      </w:r>
    </w:p>
    <w:p w14:paraId="28D1C9C1">
      <w:pPr>
        <w:pStyle w:val="32"/>
        <w:numPr>
          <w:ilvl w:val="0"/>
          <w:numId w:val="11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如发生与试验有关的伤害事件，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可能获得的补偿和/或治疗。</w:t>
      </w:r>
    </w:p>
    <w:p w14:paraId="1335B90C">
      <w:pPr>
        <w:pStyle w:val="32"/>
        <w:numPr>
          <w:ilvl w:val="0"/>
          <w:numId w:val="11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参加研究所预定的、按比例支付的补偿（如有）。</w:t>
      </w:r>
    </w:p>
    <w:p w14:paraId="0F08C33A">
      <w:pPr>
        <w:pStyle w:val="32"/>
        <w:numPr>
          <w:ilvl w:val="0"/>
          <w:numId w:val="114"/>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参加试验的预期花费（如有）。</w:t>
      </w:r>
    </w:p>
    <w:p w14:paraId="5E362E95">
      <w:pPr>
        <w:pStyle w:val="32"/>
        <w:numPr>
          <w:ilvl w:val="0"/>
          <w:numId w:val="114"/>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参加试验是自愿的，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可以拒绝参加或在任何时候退出试验而不会因此</w:t>
      </w:r>
    </w:p>
    <w:p w14:paraId="5FA5F1E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受到处罚或其应得利益不会遭受损失。</w:t>
      </w:r>
    </w:p>
    <w:p w14:paraId="7C3E1AB5">
      <w:pPr>
        <w:pStyle w:val="32"/>
        <w:numPr>
          <w:ilvl w:val="0"/>
          <w:numId w:val="11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监察员、稽</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员、机构审查委员会/独立伦理委员会和管理当局应被准予在不违反</w:t>
      </w:r>
    </w:p>
    <w:p w14:paraId="75939241">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适用法律和法规所准许的范围内，在不侵犯</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的隐私的情况下，直接</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阅受试</w:t>
      </w:r>
    </w:p>
    <w:p w14:paraId="395EB53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者的原始医疗记录以便核</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临床试验的程序和/或数据</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或其合法代理人在签</w:t>
      </w:r>
    </w:p>
    <w:p w14:paraId="015B8EC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署书面知情同意书时即授权这种查阅。</w:t>
      </w:r>
    </w:p>
    <w:p w14:paraId="3ABE224A">
      <w:pPr>
        <w:pStyle w:val="32"/>
        <w:numPr>
          <w:ilvl w:val="0"/>
          <w:numId w:val="11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在适用法律和/或法规准许的范围内，有关识别</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的记录应保密，不得公开这些记录，如公开发表试验结果，</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的身份仍然是保密的。</w:t>
      </w:r>
    </w:p>
    <w:p w14:paraId="2B363F86">
      <w:pPr>
        <w:pStyle w:val="32"/>
        <w:numPr>
          <w:ilvl w:val="0"/>
          <w:numId w:val="11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如果得到可能影响</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继续参加试验的信息，</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或其合法代理人将及时得到通报。</w:t>
      </w:r>
    </w:p>
    <w:p w14:paraId="4F86868A">
      <w:pPr>
        <w:pStyle w:val="32"/>
        <w:numPr>
          <w:ilvl w:val="0"/>
          <w:numId w:val="11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需要进一步了解有关试验资料和</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的权益时的联系人以及如发生试验相关的伤害时的联系人。</w:t>
      </w:r>
    </w:p>
    <w:p w14:paraId="76E42DF4">
      <w:pPr>
        <w:pStyle w:val="32"/>
        <w:numPr>
          <w:ilvl w:val="0"/>
          <w:numId w:val="116"/>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参加试验可能被终止的预期情况和/或原因。</w:t>
      </w:r>
    </w:p>
    <w:p w14:paraId="2AC3D0F8">
      <w:pPr>
        <w:pStyle w:val="32"/>
        <w:numPr>
          <w:ilvl w:val="0"/>
          <w:numId w:val="116"/>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参加试验的预期持续时间。</w:t>
      </w:r>
    </w:p>
    <w:p w14:paraId="35348027">
      <w:pPr>
        <w:pStyle w:val="32"/>
        <w:numPr>
          <w:ilvl w:val="0"/>
          <w:numId w:val="11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研究涉及</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的大致人数。</w:t>
      </w:r>
    </w:p>
    <w:p w14:paraId="3A252BA4">
      <w:pPr>
        <w:pStyle w:val="32"/>
        <w:spacing w:after="0" w:line="240" w:lineRule="auto"/>
        <w:ind w:left="375" w:firstLine="0"/>
        <w:rPr>
          <w:rStyle w:val="14"/>
          <w:rFonts w:ascii="宋体" w:hAnsi="宋体" w:eastAsia="宋体" w:cs="宋体"/>
          <w:sz w:val="21"/>
          <w:szCs w:val="21"/>
          <w:lang w:val="zh-CN"/>
        </w:rPr>
      </w:pPr>
      <w:r>
        <w:rPr>
          <w:rStyle w:val="14"/>
          <w:rFonts w:hint="eastAsia" w:ascii="宋体" w:hAnsi="宋体" w:eastAsia="宋体" w:cs="宋体"/>
          <w:sz w:val="21"/>
          <w:szCs w:val="21"/>
          <w:lang w:val="zh-CN"/>
        </w:rPr>
        <w:t>此外，审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还应考虑：</w:t>
      </w:r>
    </w:p>
    <w:p w14:paraId="2F1121BD">
      <w:pPr>
        <w:pStyle w:val="32"/>
        <w:numPr>
          <w:ilvl w:val="0"/>
          <w:numId w:val="11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知情同意书没有任何要求</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或其合法代表放弃其合法权益的内容，没有免除研究者、研究机构、申办者或其合法代表逃避过失责任的内容。</w:t>
      </w:r>
    </w:p>
    <w:p w14:paraId="3F482468">
      <w:pPr>
        <w:pStyle w:val="32"/>
        <w:numPr>
          <w:ilvl w:val="0"/>
          <w:numId w:val="11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告知信息的语言表述适合</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群体的理解水平。</w:t>
      </w:r>
    </w:p>
    <w:p w14:paraId="4DA96DF7">
      <w:pPr>
        <w:pStyle w:val="32"/>
        <w:numPr>
          <w:ilvl w:val="0"/>
          <w:numId w:val="11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上述告知的信息（特别是</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人群、试验干预与试验程序）与方案一致。</w:t>
      </w:r>
    </w:p>
    <w:p w14:paraId="77EC81CE">
      <w:pPr>
        <w:pStyle w:val="32"/>
        <w:spacing w:after="0" w:line="240" w:lineRule="auto"/>
        <w:rPr>
          <w:rStyle w:val="14"/>
          <w:rFonts w:ascii="宋体" w:hAnsi="宋体" w:eastAsia="宋体" w:cs="宋体"/>
          <w:sz w:val="21"/>
          <w:szCs w:val="21"/>
          <w:lang w:val="zh-CN"/>
        </w:rPr>
      </w:pPr>
    </w:p>
    <w:p w14:paraId="473CBD50">
      <w:pPr>
        <w:pStyle w:val="32"/>
        <w:spacing w:after="0" w:line="240" w:lineRule="auto"/>
        <w:rPr>
          <w:rStyle w:val="14"/>
          <w:rFonts w:ascii="宋体" w:hAnsi="宋体" w:eastAsia="宋体" w:cs="宋体"/>
          <w:sz w:val="21"/>
          <w:szCs w:val="21"/>
        </w:rPr>
      </w:pPr>
      <w:r>
        <w:rPr>
          <w:rStyle w:val="14"/>
          <w:rFonts w:hint="eastAsia" w:ascii="宋体" w:hAnsi="宋体" w:eastAsia="宋体" w:cs="宋体"/>
          <w:sz w:val="21"/>
          <w:szCs w:val="21"/>
          <w:lang w:val="zh-CN"/>
        </w:rPr>
        <w:t>2.前瞻性研究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应知晓的信息</w:t>
      </w:r>
    </w:p>
    <w:p w14:paraId="00377B1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在要求</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同意参加研究之前，研究者必须以其能理解的语言或其他交流形式提供以下信息：</w:t>
      </w:r>
    </w:p>
    <w:p w14:paraId="6B7A9ADD">
      <w:pPr>
        <w:pStyle w:val="32"/>
        <w:numPr>
          <w:ilvl w:val="0"/>
          <w:numId w:val="118"/>
        </w:numPr>
        <w:spacing w:after="0" w:line="240" w:lineRule="auto"/>
        <w:ind w:left="704"/>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是受邀参加研究，适合参加该项研究的理由，以及参加是自愿的。</w:t>
      </w:r>
    </w:p>
    <w:p w14:paraId="59940B3E">
      <w:pPr>
        <w:pStyle w:val="32"/>
        <w:numPr>
          <w:ilvl w:val="0"/>
          <w:numId w:val="118"/>
        </w:numPr>
        <w:spacing w:after="0" w:line="240" w:lineRule="auto"/>
        <w:ind w:left="704"/>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有权拒绝参加，并可在任何时候自由地退出研究而不会受到惩罚，也不会丧失应得利益。</w:t>
      </w:r>
    </w:p>
    <w:p w14:paraId="1F803499">
      <w:pPr>
        <w:pStyle w:val="32"/>
        <w:numPr>
          <w:ilvl w:val="0"/>
          <w:numId w:val="118"/>
        </w:numPr>
        <w:spacing w:after="0" w:line="240" w:lineRule="auto"/>
        <w:ind w:left="704"/>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研究的目的，研究者和</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要进行的研究过程，以及说明该研究不同于常规医疗之处。</w:t>
      </w:r>
    </w:p>
    <w:p w14:paraId="146E9AB7">
      <w:pPr>
        <w:pStyle w:val="32"/>
        <w:numPr>
          <w:ilvl w:val="0"/>
          <w:numId w:val="118"/>
        </w:numPr>
        <w:spacing w:after="0" w:line="240" w:lineRule="auto"/>
        <w:ind w:left="704"/>
        <w:rPr>
          <w:rStyle w:val="14"/>
          <w:rFonts w:ascii="宋体" w:hAnsi="宋体" w:eastAsia="宋体" w:cs="宋体"/>
          <w:sz w:val="21"/>
          <w:szCs w:val="21"/>
          <w:lang w:val="zh-CN"/>
        </w:rPr>
      </w:pPr>
      <w:r>
        <w:rPr>
          <w:rStyle w:val="14"/>
          <w:rFonts w:hint="eastAsia" w:ascii="宋体" w:hAnsi="宋体" w:eastAsia="宋体" w:cs="宋体"/>
          <w:sz w:val="21"/>
          <w:szCs w:val="21"/>
          <w:lang w:val="zh-CN"/>
        </w:rPr>
        <w:t>关于对照试验，要说明研究设计的特点（例如随机化，双盲、在研究完成或破盲</w:t>
      </w:r>
    </w:p>
    <w:p w14:paraId="72321CB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以前</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不会被告知所分配的治疗方法。</w:t>
      </w:r>
    </w:p>
    <w:p w14:paraId="0785A30E">
      <w:pPr>
        <w:pStyle w:val="32"/>
        <w:numPr>
          <w:ilvl w:val="0"/>
          <w:numId w:val="118"/>
        </w:numPr>
        <w:spacing w:after="0" w:line="240" w:lineRule="auto"/>
        <w:ind w:left="704"/>
        <w:rPr>
          <w:rStyle w:val="14"/>
          <w:rFonts w:ascii="宋体" w:hAnsi="宋体" w:eastAsia="宋体" w:cs="宋体"/>
          <w:sz w:val="21"/>
          <w:szCs w:val="21"/>
          <w:lang w:val="zh-CN"/>
        </w:rPr>
      </w:pPr>
      <w:r>
        <w:rPr>
          <w:rStyle w:val="14"/>
          <w:rFonts w:hint="eastAsia" w:ascii="宋体" w:hAnsi="宋体" w:eastAsia="宋体" w:cs="宋体"/>
          <w:sz w:val="21"/>
          <w:szCs w:val="21"/>
          <w:lang w:val="zh-CN"/>
        </w:rPr>
        <w:t>预期个体参加研究的持续时间(包括到研究中心随访的次数和持续时间，以及参</w:t>
      </w:r>
    </w:p>
    <w:p w14:paraId="2CCD17A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加研究的总体时间),试验提前中止或</w:t>
      </w:r>
      <w:r>
        <w:rPr>
          <w:rStyle w:val="14"/>
          <w:rFonts w:hint="eastAsia" w:hAnsi="宋体" w:eastAsia="宋体" w:cs="宋体"/>
          <w:sz w:val="21"/>
          <w:szCs w:val="21"/>
          <w:lang w:val="zh-CN"/>
        </w:rPr>
        <w:t>试验参与者</w:t>
      </w:r>
      <w:r>
        <w:rPr>
          <w:rStyle w:val="14"/>
          <w:rFonts w:hint="eastAsia" w:ascii="宋体" w:hAnsi="宋体" w:eastAsia="宋体" w:cs="宋体"/>
          <w:sz w:val="21"/>
          <w:szCs w:val="21"/>
          <w:lang w:val="zh-CN"/>
        </w:rPr>
        <w:t>提前退出试验的可能性。</w:t>
      </w:r>
    </w:p>
    <w:p w14:paraId="489483A2">
      <w:pPr>
        <w:pStyle w:val="32"/>
        <w:numPr>
          <w:ilvl w:val="0"/>
          <w:numId w:val="118"/>
        </w:numPr>
        <w:spacing w:after="0" w:line="240" w:lineRule="auto"/>
        <w:ind w:left="704"/>
        <w:rPr>
          <w:rStyle w:val="14"/>
          <w:rFonts w:ascii="宋体" w:hAnsi="宋体" w:eastAsia="宋体" w:cs="宋体"/>
          <w:sz w:val="21"/>
          <w:szCs w:val="21"/>
          <w:lang w:val="zh-CN"/>
        </w:rPr>
      </w:pPr>
      <w:r>
        <w:rPr>
          <w:rStyle w:val="14"/>
          <w:rFonts w:hint="eastAsia" w:ascii="宋体" w:hAnsi="宋体" w:eastAsia="宋体" w:cs="宋体"/>
          <w:sz w:val="21"/>
          <w:szCs w:val="21"/>
          <w:lang w:val="zh-CN"/>
        </w:rPr>
        <w:t>是否有金钱或其他形式的物质作为</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参加研究的</w:t>
      </w:r>
      <w:r>
        <w:rPr>
          <w:rStyle w:val="14"/>
          <w:rFonts w:hint="eastAsia" w:hAnsi="宋体" w:eastAsia="宋体" w:cs="宋体"/>
          <w:sz w:val="21"/>
          <w:szCs w:val="21"/>
        </w:rPr>
        <w:t>补偿</w:t>
      </w:r>
      <w:r>
        <w:rPr>
          <w:rStyle w:val="14"/>
          <w:rFonts w:hint="eastAsia" w:ascii="宋体" w:hAnsi="宋体" w:eastAsia="宋体" w:cs="宋体"/>
          <w:sz w:val="21"/>
          <w:szCs w:val="21"/>
          <w:lang w:val="zh-CN"/>
        </w:rPr>
        <w:t>，如果有，说明种类和数量。</w:t>
      </w:r>
    </w:p>
    <w:p w14:paraId="048AC3C2">
      <w:pPr>
        <w:pStyle w:val="32"/>
        <w:numPr>
          <w:ilvl w:val="0"/>
          <w:numId w:val="118"/>
        </w:numPr>
        <w:spacing w:after="0" w:line="240" w:lineRule="auto"/>
        <w:ind w:left="704"/>
        <w:rPr>
          <w:rStyle w:val="14"/>
          <w:rFonts w:ascii="宋体" w:hAnsi="宋体" w:eastAsia="宋体" w:cs="宋体"/>
          <w:sz w:val="21"/>
          <w:szCs w:val="21"/>
          <w:lang w:val="zh-CN"/>
        </w:rPr>
      </w:pPr>
      <w:r>
        <w:rPr>
          <w:rStyle w:val="14"/>
          <w:rFonts w:hint="eastAsia" w:ascii="宋体" w:hAnsi="宋体" w:eastAsia="宋体" w:cs="宋体"/>
          <w:sz w:val="21"/>
          <w:szCs w:val="21"/>
          <w:lang w:val="zh-CN"/>
        </w:rPr>
        <w:t>通常在研究完成后，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将被告知研究的发现，每位</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将被告知与他们自身健康状态有关的任何发现。</w:t>
      </w:r>
    </w:p>
    <w:p w14:paraId="5A849E26">
      <w:pPr>
        <w:pStyle w:val="32"/>
        <w:numPr>
          <w:ilvl w:val="0"/>
          <w:numId w:val="119"/>
        </w:numPr>
        <w:spacing w:after="0" w:line="240" w:lineRule="auto"/>
        <w:ind w:left="771" w:hanging="397"/>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有权利在提出要求时获得他们的数据，即使这些数据没有直接的临床用途(除非伦理委员会已经批准暂时或永久地不公开数据，在这种情况下</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应被告知，并且给予不公开数据的理由)。</w:t>
      </w:r>
    </w:p>
    <w:p w14:paraId="2CB40C3F">
      <w:pPr>
        <w:pStyle w:val="32"/>
        <w:numPr>
          <w:ilvl w:val="0"/>
          <w:numId w:val="12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与参加研究有关的、给</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（或他人）带来的任何可预见到的风险、疼痛、不适，或不便，包括给</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的配偶或伴侣的健康或幸福带来的风险。</w:t>
      </w:r>
    </w:p>
    <w:p w14:paraId="12468AB5">
      <w:pPr>
        <w:pStyle w:val="32"/>
        <w:numPr>
          <w:ilvl w:val="0"/>
          <w:numId w:val="121"/>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参加研究任何预期的直接受益。</w:t>
      </w:r>
    </w:p>
    <w:p w14:paraId="3743EF9C">
      <w:pPr>
        <w:pStyle w:val="32"/>
        <w:numPr>
          <w:ilvl w:val="0"/>
          <w:numId w:val="12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研究对于社区或整个社会的预期受益，或对科学知识的贡献。</w:t>
      </w:r>
    </w:p>
    <w:p w14:paraId="444C13CE">
      <w:pPr>
        <w:pStyle w:val="32"/>
        <w:numPr>
          <w:ilvl w:val="0"/>
          <w:numId w:val="123"/>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完成研究后，他们能否、何时、如何得到被研究证明是安全和有效的药品或干预方法，他们是否要为此付款。</w:t>
      </w:r>
    </w:p>
    <w:p w14:paraId="35A0A166">
      <w:pPr>
        <w:pStyle w:val="32"/>
        <w:numPr>
          <w:ilvl w:val="0"/>
          <w:numId w:val="12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任何现有的可替代的干预措施或治疗措施。</w:t>
      </w:r>
    </w:p>
    <w:p w14:paraId="6E5C9E8B">
      <w:pPr>
        <w:pStyle w:val="32"/>
        <w:numPr>
          <w:ilvl w:val="0"/>
          <w:numId w:val="12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有关尊重</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隐私，可识别</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身份记录保密性的规定。</w:t>
      </w:r>
    </w:p>
    <w:p w14:paraId="723B2830">
      <w:pPr>
        <w:pStyle w:val="32"/>
        <w:numPr>
          <w:ilvl w:val="0"/>
          <w:numId w:val="12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研究者保守机密能力受到法律和其他规定的限制，以及泄露机密的可能后果。</w:t>
      </w:r>
    </w:p>
    <w:p w14:paraId="6E1BB6E2">
      <w:pPr>
        <w:pStyle w:val="32"/>
        <w:numPr>
          <w:ilvl w:val="0"/>
          <w:numId w:val="12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关于利用遗传试验结果和家族遗传信息的政策，以及在没有</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同意的情况下，防止将</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的遗传试验结果披露给直系亲属或其他人(如保险公司或雇主）的适当的预防措施。</w:t>
      </w:r>
    </w:p>
    <w:p w14:paraId="3843DD96">
      <w:pPr>
        <w:pStyle w:val="32"/>
        <w:numPr>
          <w:ilvl w:val="0"/>
          <w:numId w:val="12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研究的申办者，研究者隶属的机构，研究资金的性质和来源。</w:t>
      </w:r>
    </w:p>
    <w:p w14:paraId="1E98831C">
      <w:pPr>
        <w:pStyle w:val="32"/>
        <w:numPr>
          <w:ilvl w:val="0"/>
          <w:numId w:val="12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医疗过程中的病历记录和生物标本的直接研究利用和二次研究利用的可能性。</w:t>
      </w:r>
    </w:p>
    <w:p w14:paraId="5BEA84D0">
      <w:pPr>
        <w:pStyle w:val="32"/>
        <w:numPr>
          <w:ilvl w:val="0"/>
          <w:numId w:val="12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研究结束时是否计划将研究中收集的生物标本销毁，如果不是，关于它们贮存的细节（地点，如何存，存多久，最后的处置）和将来可能的利用，以及</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有权做出关于将来的使用、拒绝贮存和让其销毁的决定。</w:t>
      </w:r>
    </w:p>
    <w:p w14:paraId="4EF60FE1">
      <w:pPr>
        <w:pStyle w:val="32"/>
        <w:numPr>
          <w:ilvl w:val="0"/>
          <w:numId w:val="12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是否会从生物标本中开发出商业产品，研究的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是否会从此类产品的开发中获得金钱或其他受益。</w:t>
      </w:r>
    </w:p>
    <w:p w14:paraId="50CC0F4B">
      <w:pPr>
        <w:pStyle w:val="32"/>
        <w:numPr>
          <w:ilvl w:val="0"/>
          <w:numId w:val="12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研究者是仅作为研究者，还是既做研究者、又做</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的医生。</w:t>
      </w:r>
    </w:p>
    <w:p w14:paraId="3F7380F2">
      <w:pPr>
        <w:pStyle w:val="32"/>
        <w:numPr>
          <w:ilvl w:val="0"/>
          <w:numId w:val="12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研究者为研究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提供医疗服务的职责范围。</w:t>
      </w:r>
    </w:p>
    <w:p w14:paraId="4D268F71">
      <w:pPr>
        <w:pStyle w:val="32"/>
        <w:numPr>
          <w:ilvl w:val="0"/>
          <w:numId w:val="12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对研究相关损害或并发症提供的免费治疗，这种治疗的性质和持续时间，提供治疗的组织或个人名称，以及关于这种治疗的资金是否存在任何不确定因素。</w:t>
      </w:r>
    </w:p>
    <w:p w14:paraId="5B59BF7C">
      <w:pPr>
        <w:pStyle w:val="32"/>
        <w:numPr>
          <w:ilvl w:val="0"/>
          <w:numId w:val="12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因此类损害引起的残疾或死亡，</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或</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的家属或受赡养人将以何种方式通过什么组织得到赔偿(或者，说明没有提供此类赔偿的计划）。</w:t>
      </w:r>
    </w:p>
    <w:p w14:paraId="1D13E54B">
      <w:pPr>
        <w:pStyle w:val="32"/>
        <w:numPr>
          <w:ilvl w:val="0"/>
          <w:numId w:val="12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我国对与试验相关的损害，</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有获得赔偿权利的法律保证。</w:t>
      </w:r>
    </w:p>
    <w:p w14:paraId="1F5041A5">
      <w:pPr>
        <w:pStyle w:val="32"/>
        <w:numPr>
          <w:ilvl w:val="0"/>
          <w:numId w:val="12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伦理委员会已经批准研究方案。</w:t>
      </w:r>
    </w:p>
    <w:p w14:paraId="64F310C9">
      <w:pPr>
        <w:pStyle w:val="32"/>
        <w:spacing w:after="0" w:line="240" w:lineRule="auto"/>
        <w:rPr>
          <w:rStyle w:val="14"/>
          <w:rFonts w:ascii="宋体" w:hAnsi="宋体" w:eastAsia="宋体" w:cs="宋体"/>
          <w:sz w:val="21"/>
          <w:szCs w:val="21"/>
          <w:lang w:val="zh-CN"/>
        </w:rPr>
      </w:pPr>
    </w:p>
    <w:p w14:paraId="5BD7D18D">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三、隐瞒信息</w:t>
      </w:r>
    </w:p>
    <w:p w14:paraId="018EE299">
      <w:pPr>
        <w:pStyle w:val="32"/>
        <w:numPr>
          <w:ilvl w:val="0"/>
          <w:numId w:val="12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为了保证研究的有效性，有时候研究者在知情同意过程中隐瞒某些信息，典型做法是隐瞒特定程序的目的，如不告知</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药物计数的目的是监测其依从性，因为如果他们知道其依从性正受到监测，他们可能改变行为，使结果变得无效。</w:t>
      </w:r>
    </w:p>
    <w:p w14:paraId="6197A8EC">
      <w:pPr>
        <w:pStyle w:val="32"/>
        <w:numPr>
          <w:ilvl w:val="0"/>
          <w:numId w:val="12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不能隐瞒任何公开后将导致有理智的人拒绝参加研究的信息。</w:t>
      </w:r>
    </w:p>
    <w:p w14:paraId="12385F6C">
      <w:pPr>
        <w:pStyle w:val="32"/>
        <w:numPr>
          <w:ilvl w:val="0"/>
          <w:numId w:val="13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信息的任何隐瞒都必须得到伦理委员会明确的批准。</w:t>
      </w:r>
    </w:p>
    <w:p w14:paraId="17B17094">
      <w:pPr>
        <w:pStyle w:val="32"/>
        <w:spacing w:after="0" w:line="240" w:lineRule="auto"/>
        <w:rPr>
          <w:rStyle w:val="14"/>
          <w:rFonts w:ascii="宋体" w:hAnsi="宋体" w:eastAsia="宋体" w:cs="宋体"/>
          <w:sz w:val="21"/>
          <w:szCs w:val="21"/>
          <w:lang w:val="zh-CN"/>
        </w:rPr>
      </w:pPr>
    </w:p>
    <w:p w14:paraId="0D38960A">
      <w:pPr>
        <w:pStyle w:val="32"/>
        <w:spacing w:after="0" w:line="240" w:lineRule="auto"/>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第五章</w:t>
      </w:r>
      <w:r>
        <w:rPr>
          <w:rStyle w:val="14"/>
          <w:rFonts w:hint="eastAsia" w:ascii="宋体" w:hAnsi="宋体" w:eastAsia="宋体" w:cs="宋体"/>
          <w:sz w:val="28"/>
          <w:szCs w:val="28"/>
        </w:rPr>
        <w:t xml:space="preserve"> </w:t>
      </w:r>
      <w:r>
        <w:rPr>
          <w:rStyle w:val="14"/>
          <w:rFonts w:hint="eastAsia" w:ascii="宋体" w:hAnsi="宋体" w:eastAsia="宋体" w:cs="宋体"/>
          <w:sz w:val="28"/>
          <w:szCs w:val="28"/>
          <w:lang w:val="zh-CN"/>
        </w:rPr>
        <w:t>知情同意的过程</w:t>
      </w:r>
    </w:p>
    <w:p w14:paraId="4EE0C0EB">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一、原则</w:t>
      </w:r>
    </w:p>
    <w:p w14:paraId="1F55D58F">
      <w:pPr>
        <w:pStyle w:val="32"/>
        <w:numPr>
          <w:ilvl w:val="0"/>
          <w:numId w:val="13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有行为能力的人作为</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参加医学研究必须是自愿的。虽然征询家庭成员或社区领导人的意见可能是合适的，但除非有行为能力的</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本人自由表达同意，否则他/她不可以被征召参加医学研究。</w:t>
      </w:r>
    </w:p>
    <w:p w14:paraId="3AEE8ECA">
      <w:pPr>
        <w:pStyle w:val="32"/>
        <w:numPr>
          <w:ilvl w:val="0"/>
          <w:numId w:val="13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在确保潜在的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理解信息之后，医生或另一个具备合适资质的人必须获得潜在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自由给出的知情同意，最好是书面同意。</w:t>
      </w:r>
    </w:p>
    <w:p w14:paraId="6CE8ABEE">
      <w:pPr>
        <w:pStyle w:val="32"/>
        <w:numPr>
          <w:ilvl w:val="0"/>
          <w:numId w:val="13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对于一个无行为能力的潜在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，医生必须从</w:t>
      </w:r>
      <w:r>
        <w:rPr>
          <w:rStyle w:val="14"/>
          <w:rFonts w:hint="eastAsia" w:hAnsi="宋体" w:eastAsia="宋体" w:cs="宋体"/>
          <w:sz w:val="21"/>
          <w:szCs w:val="21"/>
        </w:rPr>
        <w:t>法定代理人</w:t>
      </w:r>
      <w:r>
        <w:rPr>
          <w:rStyle w:val="14"/>
          <w:rFonts w:hint="eastAsia" w:ascii="宋体" w:hAnsi="宋体" w:eastAsia="宋体" w:cs="宋体"/>
          <w:sz w:val="21"/>
          <w:szCs w:val="21"/>
          <w:lang w:val="zh-CN"/>
        </w:rPr>
        <w:t>那里征得知情同意。</w:t>
      </w:r>
    </w:p>
    <w:p w14:paraId="0EC1A157">
      <w:pPr>
        <w:pStyle w:val="32"/>
        <w:numPr>
          <w:ilvl w:val="0"/>
          <w:numId w:val="132"/>
        </w:numPr>
        <w:spacing w:after="0" w:line="240" w:lineRule="auto"/>
        <w:ind w:left="795" w:leftChars="0" w:hanging="420" w:firstLineChars="0"/>
        <w:rPr>
          <w:rStyle w:val="14"/>
          <w:rFonts w:ascii="宋体" w:hAnsi="宋体" w:eastAsia="宋体" w:cs="宋体"/>
          <w:sz w:val="21"/>
          <w:szCs w:val="21"/>
          <w:lang w:val="zh-CN"/>
        </w:rPr>
      </w:pPr>
      <w:r>
        <w:rPr>
          <w:rStyle w:val="14"/>
          <w:rFonts w:hint="eastAsia" w:ascii="宋体" w:hAnsi="宋体" w:eastAsia="宋体" w:cs="宋体"/>
          <w:sz w:val="21"/>
          <w:szCs w:val="21"/>
          <w:lang w:val="zh-CN"/>
        </w:rPr>
        <w:t>当一个无行为能力的潜在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能够赞同参与研究的决定时，除了获得合法授权代表的同意外，医生必须获得潜在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的这种赞同。潜在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的不同意应该得到尊重。</w:t>
      </w:r>
    </w:p>
    <w:p w14:paraId="35573450">
      <w:pPr>
        <w:pStyle w:val="32"/>
        <w:numPr>
          <w:ilvl w:val="0"/>
          <w:numId w:val="1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对于使用可识别身份的人体材料或数据进行的医学研究，医生必须按正规程序征得</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对于采集、分析、储存和/或再使用材料或数据的同意。在获取参与这类研究的同意己不可能或不现实，或会给研究的有效性带来威胁的情况下，只有经过研究伦理委员会的考虑和批准后，研究才可进行</w:t>
      </w:r>
      <w:r>
        <w:rPr>
          <w:rStyle w:val="14"/>
          <w:rFonts w:hint="eastAsia" w:hAnsi="宋体" w:eastAsia="宋体" w:cs="宋体"/>
          <w:sz w:val="21"/>
          <w:szCs w:val="21"/>
          <w:lang w:val="zh-CN"/>
        </w:rPr>
        <w:t>。</w:t>
      </w:r>
    </w:p>
    <w:p w14:paraId="6D7EB342">
      <w:pPr>
        <w:pStyle w:val="32"/>
        <w:numPr>
          <w:ilvl w:val="0"/>
          <w:numId w:val="132"/>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在身体或精神上不能给予同意，例如无意识的病人，那么仅当使这些</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不能给出知情同意的身体或精神上的病情是研究人群必须具备的特征时，涉及这类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的研究才可进行。在这种情况下，医生应该从</w:t>
      </w:r>
      <w:r>
        <w:rPr>
          <w:rStyle w:val="14"/>
          <w:rFonts w:hint="eastAsia" w:hAnsi="宋体" w:eastAsia="宋体" w:cs="宋体"/>
          <w:sz w:val="21"/>
          <w:szCs w:val="21"/>
        </w:rPr>
        <w:t>法定代理人</w:t>
      </w:r>
      <w:r>
        <w:rPr>
          <w:rStyle w:val="14"/>
          <w:rFonts w:hint="eastAsia" w:ascii="宋体" w:hAnsi="宋体" w:eastAsia="宋体" w:cs="宋体"/>
          <w:sz w:val="21"/>
          <w:szCs w:val="21"/>
          <w:lang w:val="zh-CN"/>
        </w:rPr>
        <w:t>那里征得知情同意。如果没有这样的代表，并且该研究不能被推迟，研究可以在没有获得知情同意的情况下进行；这样做的前提是，在研究方案中已经说明需要纳入不能给予知情同意的病情的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参与研究的特殊理由，且该研究已被研究伦理委员会批准。应尽快从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或</w:t>
      </w:r>
      <w:r>
        <w:rPr>
          <w:rStyle w:val="14"/>
          <w:rFonts w:hint="eastAsia" w:hAnsi="宋体" w:eastAsia="宋体" w:cs="宋体"/>
          <w:sz w:val="21"/>
          <w:szCs w:val="21"/>
          <w:lang w:eastAsia="zh-CN"/>
        </w:rPr>
        <w:t>法定代理人</w:t>
      </w:r>
      <w:r>
        <w:rPr>
          <w:rStyle w:val="14"/>
          <w:rFonts w:hint="eastAsia" w:ascii="宋体" w:hAnsi="宋体" w:eastAsia="宋体" w:cs="宋体"/>
          <w:sz w:val="21"/>
          <w:szCs w:val="21"/>
          <w:lang w:val="zh-CN"/>
        </w:rPr>
        <w:t>那里征得继续参与这项研究的同意。</w:t>
      </w:r>
    </w:p>
    <w:p w14:paraId="30AFCEC8">
      <w:pPr>
        <w:pStyle w:val="32"/>
        <w:spacing w:after="0" w:line="240" w:lineRule="auto"/>
        <w:rPr>
          <w:rStyle w:val="14"/>
          <w:rFonts w:ascii="宋体" w:hAnsi="宋体" w:eastAsia="宋体" w:cs="宋体"/>
          <w:sz w:val="21"/>
          <w:szCs w:val="21"/>
          <w:lang w:val="zh-CN"/>
        </w:rPr>
      </w:pPr>
    </w:p>
    <w:p w14:paraId="639CA66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二、审查要点</w:t>
      </w:r>
    </w:p>
    <w:p w14:paraId="0BA8656F">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1.基本规则</w:t>
      </w:r>
    </w:p>
    <w:p w14:paraId="564806A6">
      <w:pPr>
        <w:pStyle w:val="32"/>
        <w:numPr>
          <w:ilvl w:val="0"/>
          <w:numId w:val="13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所有的人体生物医学研究，研究者必须获得</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自愿做出的知情同意。</w:t>
      </w:r>
    </w:p>
    <w:p w14:paraId="2433F868">
      <w:pPr>
        <w:pStyle w:val="32"/>
        <w:numPr>
          <w:ilvl w:val="0"/>
          <w:numId w:val="133"/>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不能给予知情同意的情况下，必须获得其</w:t>
      </w:r>
      <w:r>
        <w:rPr>
          <w:rStyle w:val="14"/>
          <w:rFonts w:hint="eastAsia" w:hAnsi="宋体" w:eastAsia="宋体" w:cs="宋体"/>
          <w:sz w:val="21"/>
          <w:szCs w:val="21"/>
          <w:lang w:eastAsia="zh-CN"/>
        </w:rPr>
        <w:t>法定代理人</w:t>
      </w:r>
      <w:r>
        <w:rPr>
          <w:rStyle w:val="14"/>
          <w:rFonts w:hint="eastAsia" w:ascii="宋体" w:hAnsi="宋体" w:eastAsia="宋体" w:cs="宋体"/>
          <w:sz w:val="21"/>
          <w:szCs w:val="21"/>
          <w:lang w:val="zh-CN"/>
        </w:rPr>
        <w:t>许可。</w:t>
      </w:r>
    </w:p>
    <w:p w14:paraId="78CD690C">
      <w:pPr>
        <w:pStyle w:val="32"/>
        <w:numPr>
          <w:ilvl w:val="0"/>
          <w:numId w:val="13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免除知情同意被认为是不寻常的和例外的，在任何情况下都必须经伦理委员会批准。</w:t>
      </w:r>
    </w:p>
    <w:p w14:paraId="7B43E532">
      <w:pPr>
        <w:pStyle w:val="32"/>
        <w:spacing w:after="0" w:line="240" w:lineRule="auto"/>
        <w:rPr>
          <w:rStyle w:val="14"/>
          <w:rFonts w:ascii="宋体" w:hAnsi="宋体" w:eastAsia="宋体" w:cs="宋体"/>
          <w:sz w:val="21"/>
          <w:szCs w:val="21"/>
          <w:lang w:val="zh-CN"/>
        </w:rPr>
      </w:pPr>
    </w:p>
    <w:p w14:paraId="76BCA878">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2.个体的知情同意</w:t>
      </w:r>
    </w:p>
    <w:p w14:paraId="3E9806CB">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2.1规则</w:t>
      </w:r>
    </w:p>
    <w:p w14:paraId="694975AE">
      <w:pPr>
        <w:pStyle w:val="32"/>
        <w:numPr>
          <w:ilvl w:val="0"/>
          <w:numId w:val="1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知情同意是一项参加研究的决定，是由具有能力的个体获取必要的信息后做出的； 其充分理解这些信息；并且经过考虑后，在没有受到强迫或不正当影响下做出的决定。</w:t>
      </w:r>
    </w:p>
    <w:p w14:paraId="42348F8B">
      <w:pPr>
        <w:pStyle w:val="32"/>
        <w:numPr>
          <w:ilvl w:val="0"/>
          <w:numId w:val="1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获取知情同意是一个过程，开始于和一个可能的受试对象的初次接触，并继续贯穿于研究的整个过程。</w:t>
      </w:r>
    </w:p>
    <w:p w14:paraId="7573A095">
      <w:pPr>
        <w:pStyle w:val="32"/>
        <w:numPr>
          <w:ilvl w:val="0"/>
          <w:numId w:val="1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研究者向</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对象告知信息，重复和解释，回答他们提出的问题，并保证每个人理解每项程序；必须给予每个人足够的时间以做出决定，包括同家属或其他人商量的时间；研究者获取他们的知情同意；并在这个过程中表现出对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的尊严和自主权的尊重。</w:t>
      </w:r>
    </w:p>
    <w:p w14:paraId="6FE47334">
      <w:pPr>
        <w:pStyle w:val="32"/>
        <w:numPr>
          <w:ilvl w:val="0"/>
          <w:numId w:val="135"/>
        </w:numPr>
        <w:spacing w:after="0" w:line="240" w:lineRule="auto"/>
        <w:ind w:left="817"/>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研究者应为知情同意过程留有充分的时间和精力。</w:t>
      </w:r>
    </w:p>
    <w:p w14:paraId="2A24947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2.2过程</w:t>
      </w:r>
    </w:p>
    <w:p w14:paraId="58617053">
      <w:pPr>
        <w:pStyle w:val="32"/>
        <w:numPr>
          <w:ilvl w:val="0"/>
          <w:numId w:val="136"/>
        </w:numPr>
        <w:spacing w:after="0" w:line="240" w:lineRule="auto"/>
        <w:ind w:left="817"/>
        <w:rPr>
          <w:rStyle w:val="14"/>
          <w:rFonts w:ascii="宋体" w:hAnsi="宋体" w:eastAsia="宋体" w:cs="宋体"/>
          <w:sz w:val="21"/>
          <w:szCs w:val="21"/>
          <w:lang w:val="zh-CN"/>
        </w:rPr>
      </w:pPr>
      <w:r>
        <w:rPr>
          <w:rStyle w:val="14"/>
          <w:rFonts w:hint="eastAsia" w:ascii="宋体" w:hAnsi="宋体" w:eastAsia="宋体" w:cs="宋体"/>
          <w:sz w:val="21"/>
          <w:szCs w:val="21"/>
          <w:lang w:val="zh-CN"/>
        </w:rPr>
        <w:t>语言与文字表述</w:t>
      </w:r>
    </w:p>
    <w:p w14:paraId="2D1F1617">
      <w:pPr>
        <w:pStyle w:val="32"/>
        <w:numPr>
          <w:ilvl w:val="0"/>
          <w:numId w:val="13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采用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能够理解的语言。</w:t>
      </w:r>
    </w:p>
    <w:p w14:paraId="1C9F4673">
      <w:pPr>
        <w:pStyle w:val="32"/>
        <w:numPr>
          <w:ilvl w:val="0"/>
          <w:numId w:val="13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文字表述适合个体</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的理解能力，如安慰剂或随机化科学概念的表述。</w:t>
      </w:r>
    </w:p>
    <w:p w14:paraId="255E784E">
      <w:pPr>
        <w:pStyle w:val="32"/>
        <w:numPr>
          <w:ilvl w:val="0"/>
          <w:numId w:val="136"/>
        </w:numPr>
        <w:spacing w:after="0" w:line="240" w:lineRule="auto"/>
        <w:ind w:left="817"/>
        <w:rPr>
          <w:rStyle w:val="14"/>
          <w:rFonts w:ascii="宋体" w:hAnsi="宋体" w:eastAsia="宋体" w:cs="宋体"/>
          <w:sz w:val="21"/>
          <w:szCs w:val="21"/>
          <w:lang w:val="zh-CN"/>
        </w:rPr>
      </w:pPr>
      <w:r>
        <w:rPr>
          <w:rStyle w:val="14"/>
          <w:rFonts w:hint="eastAsia" w:ascii="宋体" w:hAnsi="宋体" w:eastAsia="宋体" w:cs="宋体"/>
          <w:sz w:val="21"/>
          <w:szCs w:val="21"/>
          <w:lang w:val="zh-CN"/>
        </w:rPr>
        <w:t>理解</w:t>
      </w:r>
    </w:p>
    <w:p w14:paraId="343A0999">
      <w:pPr>
        <w:pStyle w:val="32"/>
        <w:numPr>
          <w:ilvl w:val="0"/>
          <w:numId w:val="13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研究者经过培训，能保证</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对象充分地理解这些信息。</w:t>
      </w:r>
    </w:p>
    <w:p w14:paraId="318F1471">
      <w:pPr>
        <w:pStyle w:val="32"/>
        <w:numPr>
          <w:ilvl w:val="0"/>
          <w:numId w:val="13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知情同意的场所应避免干扰，有助于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理解研究信息。知情同意书应有鼓励</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提问以及对研究者回答评价的文字表述。</w:t>
      </w:r>
    </w:p>
    <w:p w14:paraId="590FEF11">
      <w:pPr>
        <w:pStyle w:val="32"/>
        <w:numPr>
          <w:ilvl w:val="0"/>
          <w:numId w:val="13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知情同意书应鼓励</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与亲属朋友商量，鼓励</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经过充分的时间考虑后再做决定。</w:t>
      </w:r>
    </w:p>
    <w:p w14:paraId="53534BF9">
      <w:pPr>
        <w:pStyle w:val="32"/>
        <w:numPr>
          <w:ilvl w:val="0"/>
          <w:numId w:val="13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知情同意书应留有研究人员的联系电话，方便随时回答</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的提问。</w:t>
      </w:r>
    </w:p>
    <w:p w14:paraId="3D965F68">
      <w:pPr>
        <w:pStyle w:val="32"/>
        <w:numPr>
          <w:ilvl w:val="0"/>
          <w:numId w:val="13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如果研究具有重大风险，而</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的理解可能有困难，可以建议使用视听资料和小册子帮助理解，或要求使用一个口头的或书面的测验来判断</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是否充分理解了这些信息，或委派代表见证研究者与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之间的信息交流，并判断</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的理解程度。</w:t>
      </w:r>
    </w:p>
    <w:p w14:paraId="4CD6EB5A">
      <w:pPr>
        <w:pStyle w:val="32"/>
        <w:numPr>
          <w:ilvl w:val="0"/>
          <w:numId w:val="136"/>
        </w:numPr>
        <w:spacing w:after="0" w:line="240" w:lineRule="auto"/>
        <w:ind w:left="817"/>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知情同意的文件</w:t>
      </w:r>
    </w:p>
    <w:p w14:paraId="6C0FBBFA">
      <w:pPr>
        <w:pStyle w:val="32"/>
        <w:numPr>
          <w:ilvl w:val="0"/>
          <w:numId w:val="140"/>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自愿参加研究的意愿必须有签署姓名和日期的书面知情同意文件加以证明。</w:t>
      </w:r>
    </w:p>
    <w:p w14:paraId="32AB4F52">
      <w:pPr>
        <w:pStyle w:val="32"/>
        <w:numPr>
          <w:ilvl w:val="0"/>
          <w:numId w:val="14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对于无行为能力者，法定代理人或经正式授权的代表应签署知情同意书。</w:t>
      </w:r>
    </w:p>
    <w:p w14:paraId="710ECD09">
      <w:pPr>
        <w:pStyle w:val="32"/>
        <w:numPr>
          <w:ilvl w:val="0"/>
          <w:numId w:val="14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免除知情同意以及免除知情同意书签字必须经过伦理委员会批准。</w:t>
      </w:r>
    </w:p>
    <w:p w14:paraId="5FDCC0B6">
      <w:pPr>
        <w:pStyle w:val="32"/>
        <w:numPr>
          <w:ilvl w:val="0"/>
          <w:numId w:val="14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应各保存一份知情同意书。</w:t>
      </w:r>
    </w:p>
    <w:p w14:paraId="32D9FC6E">
      <w:pPr>
        <w:pStyle w:val="32"/>
        <w:spacing w:after="0" w:line="240" w:lineRule="auto"/>
        <w:rPr>
          <w:rStyle w:val="14"/>
          <w:rFonts w:ascii="宋体" w:hAnsi="宋体" w:eastAsia="宋体" w:cs="宋体"/>
          <w:sz w:val="21"/>
          <w:szCs w:val="21"/>
          <w:lang w:val="zh-CN"/>
        </w:rPr>
      </w:pPr>
    </w:p>
    <w:p w14:paraId="6FB5DA88">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3.重新获取知情同意</w:t>
      </w:r>
    </w:p>
    <w:p w14:paraId="2E8D73B1">
      <w:pPr>
        <w:pStyle w:val="32"/>
        <w:numPr>
          <w:ilvl w:val="0"/>
          <w:numId w:val="136"/>
        </w:numPr>
        <w:spacing w:after="0" w:line="240" w:lineRule="auto"/>
        <w:ind w:left="817"/>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研究的条件或程序发生实质性变化时。</w:t>
      </w:r>
    </w:p>
    <w:p w14:paraId="039C1084">
      <w:pPr>
        <w:pStyle w:val="32"/>
        <w:numPr>
          <w:ilvl w:val="0"/>
          <w:numId w:val="136"/>
        </w:numPr>
        <w:spacing w:after="0" w:line="240" w:lineRule="auto"/>
        <w:ind w:left="817"/>
        <w:rPr>
          <w:rStyle w:val="14"/>
          <w:rFonts w:ascii="宋体" w:hAnsi="宋体" w:eastAsia="宋体" w:cs="宋体"/>
          <w:sz w:val="21"/>
          <w:szCs w:val="21"/>
          <w:lang w:val="zh-CN"/>
        </w:rPr>
      </w:pPr>
      <w:r>
        <w:rPr>
          <w:rStyle w:val="14"/>
          <w:rFonts w:hint="eastAsia" w:ascii="宋体" w:hAnsi="宋体" w:eastAsia="宋体" w:cs="宋体"/>
          <w:sz w:val="21"/>
          <w:szCs w:val="21"/>
          <w:lang w:val="zh-CN"/>
        </w:rPr>
        <w:t>得到了可能影响</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继续参加研究意愿的新信息，例如：</w:t>
      </w:r>
    </w:p>
    <w:p w14:paraId="153248CF">
      <w:pPr>
        <w:pStyle w:val="32"/>
        <w:numPr>
          <w:ilvl w:val="0"/>
          <w:numId w:val="14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从该研究或其他途径发现了有关试验产品非预期的严重不良反应，影响到研究的风险/受益比。</w:t>
      </w:r>
    </w:p>
    <w:p w14:paraId="451FF129">
      <w:pPr>
        <w:pStyle w:val="32"/>
        <w:numPr>
          <w:ilvl w:val="0"/>
          <w:numId w:val="14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替代产品的新信息。</w:t>
      </w:r>
    </w:p>
    <w:p w14:paraId="75738211">
      <w:pPr>
        <w:pStyle w:val="32"/>
        <w:spacing w:after="0" w:line="240" w:lineRule="auto"/>
        <w:rPr>
          <w:rStyle w:val="14"/>
          <w:rFonts w:ascii="宋体" w:hAnsi="宋体" w:eastAsia="宋体" w:cs="宋体"/>
          <w:sz w:val="21"/>
          <w:szCs w:val="21"/>
          <w:lang w:val="zh-CN"/>
        </w:rPr>
      </w:pPr>
    </w:p>
    <w:p w14:paraId="6B51ADA6">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4.临床试验中出于研究目的使用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的生物材料（包括遗传物质）的知情同意</w:t>
      </w:r>
    </w:p>
    <w:p w14:paraId="391C4C10">
      <w:pPr>
        <w:pStyle w:val="32"/>
        <w:numPr>
          <w:ilvl w:val="0"/>
          <w:numId w:val="143"/>
        </w:numPr>
        <w:spacing w:after="0" w:line="240" w:lineRule="auto"/>
        <w:ind w:left="817"/>
        <w:rPr>
          <w:rStyle w:val="14"/>
          <w:rFonts w:ascii="宋体" w:hAnsi="宋体" w:eastAsia="宋体" w:cs="宋体"/>
          <w:sz w:val="21"/>
          <w:szCs w:val="21"/>
          <w:lang w:val="zh-CN"/>
        </w:rPr>
      </w:pPr>
      <w:r>
        <w:rPr>
          <w:rStyle w:val="14"/>
          <w:rFonts w:hint="eastAsia" w:ascii="宋体" w:hAnsi="宋体" w:eastAsia="宋体" w:cs="宋体"/>
          <w:sz w:val="21"/>
          <w:szCs w:val="21"/>
          <w:lang w:val="zh-CN"/>
        </w:rPr>
        <w:t>如果</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的生物标本用于另一项非临床试验所需的基础研究，知情同意书应包括单独的一个章节。研究者应请求</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对此给予 “单独的同意”。</w:t>
      </w:r>
    </w:p>
    <w:p w14:paraId="1FC56537">
      <w:pPr>
        <w:pStyle w:val="32"/>
        <w:numPr>
          <w:ilvl w:val="0"/>
          <w:numId w:val="143"/>
        </w:numPr>
        <w:spacing w:after="0" w:line="240" w:lineRule="auto"/>
        <w:ind w:left="817"/>
        <w:rPr>
          <w:rStyle w:val="14"/>
          <w:rFonts w:ascii="宋体" w:hAnsi="宋体" w:eastAsia="宋体" w:cs="宋体"/>
          <w:sz w:val="21"/>
          <w:szCs w:val="21"/>
          <w:lang w:val="zh-CN"/>
        </w:rPr>
      </w:pPr>
      <w:r>
        <w:rPr>
          <w:rStyle w:val="14"/>
          <w:rFonts w:hint="eastAsia" w:ascii="宋体" w:hAnsi="宋体" w:eastAsia="宋体" w:cs="宋体"/>
          <w:sz w:val="21"/>
          <w:szCs w:val="21"/>
          <w:lang w:val="zh-CN"/>
        </w:rPr>
        <w:t>如果</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的生物标本是用于本项临床试验，则不必请求</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给予 “单独的同意”。</w:t>
      </w:r>
    </w:p>
    <w:p w14:paraId="72C8C140">
      <w:pPr>
        <w:pStyle w:val="32"/>
        <w:spacing w:after="0" w:line="240" w:lineRule="auto"/>
        <w:rPr>
          <w:rStyle w:val="14"/>
          <w:rFonts w:ascii="宋体" w:hAnsi="宋体" w:eastAsia="宋体" w:cs="宋体"/>
          <w:sz w:val="21"/>
          <w:szCs w:val="21"/>
          <w:lang w:val="zh-CN"/>
        </w:rPr>
      </w:pPr>
    </w:p>
    <w:p w14:paraId="1AAA9F0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三、免除知情同意</w:t>
      </w:r>
    </w:p>
    <w:p w14:paraId="1EA37CE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1.利用以往临床诊疗中获得的医疗记录和生物标本的研究符合以下全部条件，伦理委员会可以部分或全部免除知情同意：</w:t>
      </w:r>
    </w:p>
    <w:p w14:paraId="00FA7319">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研究造成的风险极小，病人的权利或利益不会受到侵犯。</w:t>
      </w:r>
    </w:p>
    <w:p w14:paraId="231E31C4">
      <w:pPr>
        <w:pStyle w:val="32"/>
        <w:numPr>
          <w:ilvl w:val="0"/>
          <w:numId w:val="144"/>
        </w:numPr>
        <w:spacing w:after="0" w:line="240" w:lineRule="auto"/>
        <w:rPr>
          <w:rStyle w:val="14"/>
          <w:rFonts w:ascii="宋体" w:hAnsi="宋体" w:eastAsia="宋体" w:cs="宋体"/>
          <w:sz w:val="21"/>
          <w:szCs w:val="21"/>
          <w:lang w:val="zh-CN"/>
        </w:rPr>
      </w:pPr>
      <w:r>
        <w:rPr>
          <w:rStyle w:val="14"/>
          <w:rFonts w:hint="eastAsia" w:hAnsi="宋体" w:eastAsia="宋体" w:cs="宋体"/>
          <w:sz w:val="21"/>
          <w:szCs w:val="21"/>
          <w:lang w:val="zh-CN"/>
        </w:rPr>
        <w:t>试验参与者</w:t>
      </w:r>
      <w:r>
        <w:rPr>
          <w:rStyle w:val="14"/>
          <w:rFonts w:hint="eastAsia" w:ascii="宋体" w:hAnsi="宋体" w:eastAsia="宋体" w:cs="宋体"/>
          <w:sz w:val="21"/>
          <w:szCs w:val="21"/>
          <w:lang w:val="zh-CN"/>
        </w:rPr>
        <w:t>的隐私和机密或匿名得到保证。</w:t>
      </w:r>
    </w:p>
    <w:p w14:paraId="58680212">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若规定需获取知情同意，研究将无法进行（病人/</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拒绝或不同意参加研究，</w:t>
      </w:r>
    </w:p>
    <w:p w14:paraId="2924580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不是研究无法实施、免除知情同意的理由）。</w:t>
      </w:r>
    </w:p>
    <w:p w14:paraId="7251BA7D">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只要有可能，应在研究后的适当时候向</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提供适当的有关信息。</w:t>
      </w:r>
    </w:p>
    <w:p w14:paraId="446C4538">
      <w:pPr>
        <w:pStyle w:val="32"/>
        <w:spacing w:after="0" w:line="240" w:lineRule="auto"/>
        <w:ind w:firstLine="346"/>
        <w:rPr>
          <w:rStyle w:val="14"/>
          <w:rFonts w:ascii="宋体" w:hAnsi="宋体" w:eastAsia="宋体" w:cs="宋体"/>
          <w:sz w:val="21"/>
          <w:szCs w:val="21"/>
          <w:lang w:val="zh-CN"/>
        </w:rPr>
      </w:pPr>
      <w:r>
        <w:rPr>
          <w:rStyle w:val="14"/>
          <w:rFonts w:hint="eastAsia" w:ascii="宋体" w:hAnsi="宋体" w:eastAsia="宋体" w:cs="宋体"/>
          <w:sz w:val="21"/>
          <w:szCs w:val="21"/>
          <w:lang w:val="zh-CN"/>
        </w:rPr>
        <w:t>病人有权知道他们的病历或标本可能用于研究。医疗机构可以通知所有新来病人，他们的病历档案可能会因研究目的被利用，给予患者同意或拒绝这种利用的机会。</w:t>
      </w:r>
    </w:p>
    <w:p w14:paraId="08A8604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若病人</w:t>
      </w:r>
      <w:r>
        <w:rPr>
          <w:rStyle w:val="14"/>
          <w:rFonts w:hint="eastAsia" w:ascii="宋体" w:hAnsi="宋体" w:eastAsia="宋体" w:cs="宋体"/>
          <w:sz w:val="21"/>
          <w:szCs w:val="21"/>
        </w:rPr>
        <w:t>/</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先前已明确拒绝在将来的研究中使用其医疗记录和标本，则该</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的医疗记录和标本只有在公共卫生紧急情况需要时才可被使用。</w:t>
      </w:r>
    </w:p>
    <w:p w14:paraId="3E81F243">
      <w:pPr>
        <w:pStyle w:val="32"/>
        <w:spacing w:after="0" w:line="240" w:lineRule="auto"/>
        <w:rPr>
          <w:rStyle w:val="14"/>
          <w:rFonts w:ascii="宋体" w:hAnsi="宋体" w:eastAsia="宋体" w:cs="宋体"/>
          <w:sz w:val="21"/>
          <w:szCs w:val="21"/>
          <w:lang w:val="zh-CN"/>
        </w:rPr>
      </w:pPr>
    </w:p>
    <w:p w14:paraId="1A37BAD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2.利用以往研究中获得的医疗记录和生物标本的研究</w:t>
      </w:r>
    </w:p>
    <w:p w14:paraId="6707EDBF">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以往研究已获得</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的书面同意，允许其他的研究项目使用其病历或标本。</w:t>
      </w:r>
    </w:p>
    <w:p w14:paraId="3638AD33">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本次研究符合原知情同意的许可条件。</w:t>
      </w:r>
    </w:p>
    <w:p w14:paraId="37595E30">
      <w:pPr>
        <w:pStyle w:val="32"/>
        <w:numPr>
          <w:ilvl w:val="0"/>
          <w:numId w:val="144"/>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的隐私和身份信息的保密得到保证。</w:t>
      </w:r>
    </w:p>
    <w:p w14:paraId="7A7F170C">
      <w:pPr>
        <w:pStyle w:val="32"/>
        <w:numPr>
          <w:ilvl w:val="0"/>
          <w:numId w:val="14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病历或标本中是否含有个人标识符，或能被联系到此类标识符以及通过谁联系。</w:t>
      </w:r>
    </w:p>
    <w:p w14:paraId="78A42FB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在最初的知情同意过程中最好能够预见将来利用这些病历或标本用于研究的计划（这在某种程度上是可行的、并与可能的变试对象讨论，如有必要，请求其同意：</w:t>
      </w:r>
    </w:p>
    <w:p w14:paraId="4DC7E2E3">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将来是否肯定有或可能有二次利用，如有，这样的二次利用是否局限于原知情同意的研究类型。</w:t>
      </w:r>
    </w:p>
    <w:p w14:paraId="08580319">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在什么情况下要求研究者和</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联系，为二次利用寻求再次授权。</w:t>
      </w:r>
    </w:p>
    <w:p w14:paraId="337B8763">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研究者销毁或去除病历或标本上个人标识符的计划。</w:t>
      </w:r>
    </w:p>
    <w:p w14:paraId="2505A860">
      <w:pPr>
        <w:pStyle w:val="32"/>
        <w:numPr>
          <w:ilvl w:val="0"/>
          <w:numId w:val="144"/>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有对生物标本、或病历、或他们认为特别敏感的部分（如照片、录像带或录音磁带）要求进行销毁或匿名的权利。</w:t>
      </w:r>
    </w:p>
    <w:p w14:paraId="65192252">
      <w:pPr>
        <w:pStyle w:val="32"/>
        <w:spacing w:after="0" w:line="240" w:lineRule="auto"/>
        <w:rPr>
          <w:rStyle w:val="14"/>
          <w:rFonts w:ascii="宋体" w:hAnsi="宋体" w:eastAsia="宋体" w:cs="宋体"/>
          <w:sz w:val="21"/>
          <w:szCs w:val="21"/>
          <w:lang w:val="zh-CN"/>
        </w:rPr>
      </w:pPr>
    </w:p>
    <w:p w14:paraId="10468D8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四、免除知情同意书签字</w:t>
      </w:r>
    </w:p>
    <w:p w14:paraId="7DAFBFBD">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以下两种情况，伦理委员会可以批准免除签署知情同意书。</w:t>
      </w:r>
    </w:p>
    <w:p w14:paraId="5A5BBE1A">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当一份签了字的知情同意书会</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的隐私构成不正当的威胁，联系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真实身份和研究的唯一记录是知情同意文件，并且主要风险就来自于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身份或个人隐私的泄露。在这种情况下，应该遵循每一位</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本人的意愿是否签署书面知情同意文件。</w:t>
      </w:r>
    </w:p>
    <w:p w14:paraId="0C98E2CF">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研究风险不大于小风险，并且如果在研究范围以外进行的、按照惯例不需要履行签署知情同意的程序，例如，访谈研究，邮件/电话调查。</w:t>
      </w:r>
    </w:p>
    <w:p w14:paraId="6041E03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对于批准免除签署书面知情同意文件的研究项目，伦理委员会可以要求研究者向</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提供书面告知信息。</w:t>
      </w:r>
    </w:p>
    <w:p w14:paraId="5A44511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五、紧急情况下无法获得知情同意的硏究</w:t>
      </w:r>
    </w:p>
    <w:p w14:paraId="09E88DEB">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1.定义</w:t>
      </w:r>
    </w:p>
    <w:p w14:paraId="399935AE">
      <w:pPr>
        <w:pStyle w:val="32"/>
        <w:numPr>
          <w:ilvl w:val="0"/>
          <w:numId w:val="14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本类研究应同时满足以下条件：</w:t>
      </w:r>
    </w:p>
    <w:p w14:paraId="45AD2EB9">
      <w:pPr>
        <w:pStyle w:val="32"/>
        <w:numPr>
          <w:ilvl w:val="0"/>
          <w:numId w:val="14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处于危及生命的紧急状况，需要在发病后很快进行干预。</w:t>
      </w:r>
    </w:p>
    <w:p w14:paraId="1FE6593C">
      <w:pPr>
        <w:pStyle w:val="32"/>
        <w:numPr>
          <w:ilvl w:val="0"/>
          <w:numId w:val="14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在该紧急情况下，大部分病人无法给予知情同意,且没有时间找到</w:t>
      </w:r>
      <w:r>
        <w:rPr>
          <w:rStyle w:val="14"/>
          <w:rFonts w:hint="eastAsia" w:hAnsi="宋体" w:eastAsia="宋体" w:cs="宋体"/>
          <w:sz w:val="21"/>
          <w:szCs w:val="21"/>
        </w:rPr>
        <w:t>法定代理人</w:t>
      </w:r>
      <w:r>
        <w:rPr>
          <w:rStyle w:val="14"/>
          <w:rFonts w:hint="eastAsia" w:ascii="宋体" w:hAnsi="宋体" w:eastAsia="宋体" w:cs="宋体"/>
          <w:sz w:val="21"/>
          <w:szCs w:val="21"/>
          <w:lang w:val="zh-CN"/>
        </w:rPr>
        <w:t>。今缺乏已被证实有效的治疗方法，而试验药物或干预有望挽救生命，恢复健康或减轻病痛。</w:t>
      </w:r>
    </w:p>
    <w:p w14:paraId="62FA0718">
      <w:pPr>
        <w:pStyle w:val="32"/>
        <w:spacing w:after="0" w:line="240" w:lineRule="auto"/>
        <w:rPr>
          <w:rStyle w:val="14"/>
          <w:rFonts w:ascii="宋体" w:hAnsi="宋体" w:eastAsia="宋体" w:cs="宋体"/>
          <w:sz w:val="21"/>
          <w:szCs w:val="21"/>
          <w:lang w:val="zh-CN"/>
        </w:rPr>
      </w:pPr>
    </w:p>
    <w:p w14:paraId="2CEF1BA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2.伦理的考量</w:t>
      </w:r>
    </w:p>
    <w:p w14:paraId="6C05B4A1">
      <w:pPr>
        <w:pStyle w:val="32"/>
        <w:numPr>
          <w:ilvl w:val="0"/>
          <w:numId w:val="14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方案根据目前的科学证据，制定了必须给予试验干预的治疗窗；该治疗窗包括了一个合适的联系</w:t>
      </w:r>
      <w:r>
        <w:rPr>
          <w:rStyle w:val="14"/>
          <w:rFonts w:hint="eastAsia" w:hAnsi="宋体" w:eastAsia="宋体" w:cs="宋体"/>
          <w:sz w:val="21"/>
          <w:szCs w:val="21"/>
        </w:rPr>
        <w:t>法定代理人</w:t>
      </w:r>
      <w:r>
        <w:rPr>
          <w:rStyle w:val="14"/>
          <w:rFonts w:hint="eastAsia" w:ascii="宋体" w:hAnsi="宋体" w:eastAsia="宋体" w:cs="宋体"/>
          <w:sz w:val="21"/>
          <w:szCs w:val="21"/>
          <w:lang w:val="zh-CN"/>
        </w:rPr>
        <w:t>的时间段。</w:t>
      </w:r>
    </w:p>
    <w:p w14:paraId="31EF7D33">
      <w:pPr>
        <w:pStyle w:val="32"/>
        <w:numPr>
          <w:ilvl w:val="0"/>
          <w:numId w:val="14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研究者承诺在开始研究之前，在治疗窗的分段时间内，尽力联系患者的合法代表人，并有证明努力尝试联系的文件记录。</w:t>
      </w:r>
    </w:p>
    <w:p w14:paraId="4BA2D8FB">
      <w:pPr>
        <w:pStyle w:val="32"/>
        <w:numPr>
          <w:ilvl w:val="0"/>
          <w:numId w:val="1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一旦病人的状态许可，或找到其</w:t>
      </w:r>
      <w:r>
        <w:rPr>
          <w:rStyle w:val="14"/>
          <w:rFonts w:hint="eastAsia" w:hAnsi="宋体" w:eastAsia="宋体" w:cs="宋体"/>
          <w:sz w:val="21"/>
          <w:szCs w:val="21"/>
        </w:rPr>
        <w:t>法定代理人</w:t>
      </w:r>
      <w:r>
        <w:rPr>
          <w:rStyle w:val="14"/>
          <w:rFonts w:hint="eastAsia" w:ascii="宋体" w:hAnsi="宋体" w:eastAsia="宋体" w:cs="宋体"/>
          <w:sz w:val="21"/>
          <w:szCs w:val="21"/>
          <w:lang w:val="zh-CN"/>
        </w:rPr>
        <w:t>，应告知所有相关信息，并尽可能早地获得其反对或继续参加研究的意见。</w:t>
      </w:r>
    </w:p>
    <w:p w14:paraId="416AEBA7">
      <w:pPr>
        <w:pStyle w:val="32"/>
        <w:numPr>
          <w:ilvl w:val="0"/>
          <w:numId w:val="1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研究得到所在社会的支持。</w:t>
      </w:r>
    </w:p>
    <w:p w14:paraId="3DDF30AC">
      <w:pPr>
        <w:pStyle w:val="32"/>
        <w:spacing w:after="0" w:line="240" w:lineRule="auto"/>
        <w:rPr>
          <w:rStyle w:val="14"/>
          <w:rFonts w:ascii="宋体" w:hAnsi="宋体" w:eastAsia="宋体" w:cs="宋体"/>
          <w:sz w:val="21"/>
          <w:szCs w:val="21"/>
          <w:lang w:val="zh-CN"/>
        </w:rPr>
      </w:pPr>
    </w:p>
    <w:p w14:paraId="365B0981">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3.法律、规范与指南</w:t>
      </w:r>
    </w:p>
    <w:p w14:paraId="5D887D97">
      <w:pPr>
        <w:spacing w:after="0"/>
        <w:ind w:firstLine="420" w:firstLineChars="200"/>
        <w:rPr>
          <w:rStyle w:val="14"/>
          <w:rFonts w:ascii="宋体" w:hAnsi="宋体" w:eastAsia="宋体" w:cs="宋体"/>
          <w:sz w:val="21"/>
          <w:szCs w:val="21"/>
          <w:lang w:val="zh-CN"/>
        </w:rPr>
      </w:pPr>
      <w:r>
        <w:rPr>
          <w:rStyle w:val="14"/>
          <w:rFonts w:hint="eastAsia" w:ascii="宋体" w:hAnsi="宋体" w:eastAsia="宋体" w:cs="宋体"/>
          <w:sz w:val="21"/>
          <w:szCs w:val="21"/>
          <w:lang w:val="zh-CN"/>
        </w:rPr>
        <w:t>《药物临床试验质量管理规范》第</w:t>
      </w:r>
      <w:r>
        <w:rPr>
          <w:rStyle w:val="14"/>
          <w:rFonts w:hint="eastAsia" w:hAnsi="宋体" w:eastAsia="宋体" w:cs="宋体"/>
          <w:sz w:val="21"/>
          <w:szCs w:val="21"/>
        </w:rPr>
        <w:t>十二</w:t>
      </w:r>
      <w:r>
        <w:rPr>
          <w:rStyle w:val="14"/>
          <w:rFonts w:hint="eastAsia" w:ascii="宋体" w:hAnsi="宋体" w:eastAsia="宋体" w:cs="宋体"/>
          <w:sz w:val="21"/>
          <w:szCs w:val="21"/>
          <w:lang w:val="zh-CN"/>
        </w:rPr>
        <w:t>条</w:t>
      </w:r>
      <w:r>
        <w:rPr>
          <w:rStyle w:val="14"/>
          <w:rFonts w:hint="eastAsia" w:hAnsi="宋体" w:eastAsia="宋体" w:cs="宋体"/>
          <w:sz w:val="21"/>
          <w:szCs w:val="21"/>
          <w:lang w:val="zh-CN"/>
        </w:rPr>
        <w:t>（</w:t>
      </w:r>
      <w:r>
        <w:rPr>
          <w:rStyle w:val="14"/>
          <w:rFonts w:hint="eastAsia" w:hAnsi="宋体" w:eastAsia="宋体" w:cs="宋体"/>
          <w:sz w:val="21"/>
          <w:szCs w:val="21"/>
        </w:rPr>
        <w:t>六</w:t>
      </w:r>
      <w:r>
        <w:rPr>
          <w:rStyle w:val="14"/>
          <w:rFonts w:hint="eastAsia" w:hAnsi="宋体" w:eastAsia="宋体" w:cs="宋体"/>
          <w:sz w:val="21"/>
          <w:szCs w:val="21"/>
          <w:lang w:val="zh-CN"/>
        </w:rPr>
        <w:t>）</w:t>
      </w:r>
      <w:r>
        <w:rPr>
          <w:rStyle w:val="14"/>
          <w:rFonts w:hint="eastAsia" w:ascii="宋体" w:hAnsi="宋体" w:eastAsia="宋体" w:cs="宋体"/>
          <w:sz w:val="21"/>
          <w:szCs w:val="21"/>
          <w:lang w:val="zh-CN"/>
        </w:rPr>
        <w:t>：若试验方案中明确说明紧急情况下</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或者其法定代理人无法在试验前签署知情同意书，伦理委员会应当审查试验方案中是否充分考虑了相应的伦理学问题以及法律法规。</w:t>
      </w:r>
    </w:p>
    <w:p w14:paraId="584700F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《执业医师法》第二十六条：医师进行实验性临床医疗，应当经医院批准并征得患者本人或者其家属同意。</w:t>
      </w:r>
    </w:p>
    <w:p w14:paraId="36FDE2C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执业医师法》第三十七条：医师在执业活动中，违反本法规定，有下列行为之一的由县级以上人民政府卫生行政部门给予警告或者责令暂停六个月以上一年以下执业活动；情节严重的，吊销其医师执业证书；构成犯罪的，依法追究刑事责任：……（八）未经患者或者其家属同意，对患者进行实验性临床医疗的。</w:t>
      </w:r>
    </w:p>
    <w:p w14:paraId="44F178E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CIOMS《人体生物医学研究国际伦理指南》第六条：急诊条件下，在未获得</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同意前就打算开始的研究，……如果没有所在社会有力的支持，研究不应进行。</w:t>
      </w:r>
    </w:p>
    <w:p w14:paraId="7EB73D5B">
      <w:pPr>
        <w:pStyle w:val="32"/>
        <w:spacing w:after="0" w:line="240" w:lineRule="auto"/>
        <w:rPr>
          <w:rStyle w:val="14"/>
          <w:rFonts w:ascii="宋体" w:hAnsi="宋体" w:eastAsia="宋体" w:cs="宋体"/>
          <w:sz w:val="21"/>
          <w:szCs w:val="21"/>
          <w:lang w:val="zh-CN"/>
        </w:rPr>
      </w:pPr>
    </w:p>
    <w:p w14:paraId="56B9C24B">
      <w:pPr>
        <w:pStyle w:val="32"/>
        <w:spacing w:after="0" w:line="240" w:lineRule="auto"/>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第六章</w:t>
      </w:r>
      <w:r>
        <w:rPr>
          <w:rStyle w:val="14"/>
          <w:rFonts w:hint="eastAsia" w:ascii="宋体" w:hAnsi="宋体" w:eastAsia="宋体" w:cs="宋体"/>
          <w:sz w:val="28"/>
          <w:szCs w:val="28"/>
        </w:rPr>
        <w:t xml:space="preserve"> </w:t>
      </w:r>
      <w:r>
        <w:rPr>
          <w:rStyle w:val="30"/>
          <w:rFonts w:hint="eastAsia" w:ascii="宋体" w:hAnsi="宋体" w:eastAsia="宋体" w:cs="宋体"/>
          <w:sz w:val="28"/>
          <w:szCs w:val="28"/>
          <w:lang w:val="zh-CN"/>
        </w:rPr>
        <w:t>试验参与者</w:t>
      </w:r>
      <w:r>
        <w:rPr>
          <w:rStyle w:val="14"/>
          <w:rFonts w:hint="eastAsia" w:ascii="宋体" w:hAnsi="宋体" w:eastAsia="宋体" w:cs="宋体"/>
          <w:sz w:val="28"/>
          <w:szCs w:val="28"/>
          <w:lang w:val="zh-CN"/>
        </w:rPr>
        <w:t>的医疗和保护</w:t>
      </w:r>
    </w:p>
    <w:p w14:paraId="2F5FA95D">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一、原则</w:t>
      </w:r>
    </w:p>
    <w:p w14:paraId="03F120C4">
      <w:pPr>
        <w:pStyle w:val="32"/>
        <w:numPr>
          <w:ilvl w:val="0"/>
          <w:numId w:val="1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促进和维护病人的健康，包括那些参与医学研究的人的健康是医生的义务。医生应奉献其知识和良知以履行这一义务。</w:t>
      </w:r>
    </w:p>
    <w:p w14:paraId="5482B9B9">
      <w:pPr>
        <w:pStyle w:val="32"/>
        <w:numPr>
          <w:ilvl w:val="0"/>
          <w:numId w:val="1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医生只有在以下条件下可以把医学研究与医疗结合起来：研究的潜在预防、诊断或治疗的价值可证明此研究正当，而且医生有很好的理由相信，参加这项研究不会给作为研究</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病人的健康带来不良影响。</w:t>
      </w:r>
    </w:p>
    <w:p w14:paraId="361BC2BA">
      <w:pPr>
        <w:pStyle w:val="32"/>
        <w:numPr>
          <w:ilvl w:val="0"/>
          <w:numId w:val="1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方案应该包括下列信息：……对那些由参加研究而遭受伤害的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提供的治疗和/或补偿。</w:t>
      </w:r>
    </w:p>
    <w:p w14:paraId="620A2F36">
      <w:pPr>
        <w:pStyle w:val="32"/>
        <w:numPr>
          <w:ilvl w:val="0"/>
          <w:numId w:val="14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方案应该说明，在研究结束后如何为研究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提供本研究确定为有益的干预措施或其他相应的治疗受益。</w:t>
      </w:r>
    </w:p>
    <w:p w14:paraId="3BC21C0F">
      <w:pPr>
        <w:pStyle w:val="32"/>
        <w:numPr>
          <w:ilvl w:val="0"/>
          <w:numId w:val="14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治疗病人的过程中，当不存在经过证明的干预措施或这些干预措施无效时，如果根据医生的判断，一项未经证明的干预措施有挽救生命、恢复健康或减轻痛苦的希望，医生在取得专家的建议后，获得病人或其合法授权代表的知情同意，可以使用这种未被证明的干预。可能时，应该对该项干预进行研究，旨在评价其安全性和有效性。在任何情况下，新的信息都应该被记录下来，并且在适当时候使其公开可及。</w:t>
      </w:r>
    </w:p>
    <w:p w14:paraId="20BB4571">
      <w:pPr>
        <w:pStyle w:val="32"/>
        <w:spacing w:after="0" w:line="240" w:lineRule="auto"/>
        <w:rPr>
          <w:rStyle w:val="14"/>
          <w:rFonts w:ascii="宋体" w:hAnsi="宋体" w:eastAsia="宋体" w:cs="宋体"/>
          <w:sz w:val="21"/>
          <w:szCs w:val="21"/>
          <w:lang w:val="zh-CN"/>
        </w:rPr>
      </w:pPr>
    </w:p>
    <w:p w14:paraId="4B63B94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二、审查要点</w:t>
      </w:r>
    </w:p>
    <w:p w14:paraId="4BC869C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的医疗与保护</w:t>
      </w:r>
    </w:p>
    <w:p w14:paraId="628E0673">
      <w:pPr>
        <w:pStyle w:val="32"/>
        <w:numPr>
          <w:ilvl w:val="0"/>
          <w:numId w:val="15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研究者具有试验方案中所要求的专业知识和经验，能胜任所承担的临床试验项目。</w:t>
      </w:r>
    </w:p>
    <w:p w14:paraId="7D9A54D9">
      <w:pPr>
        <w:pStyle w:val="32"/>
        <w:numPr>
          <w:ilvl w:val="0"/>
          <w:numId w:val="15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研究干预</w:t>
      </w:r>
    </w:p>
    <w:p w14:paraId="24B5F854">
      <w:pPr>
        <w:pStyle w:val="32"/>
        <w:numPr>
          <w:ilvl w:val="0"/>
          <w:numId w:val="1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研究有充分的依据，具有潜在的预防、诊断或治疗价值，而且有充分的理由相信研究对</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的健康不会造成不良影响。</w:t>
      </w:r>
    </w:p>
    <w:p w14:paraId="74046CC7">
      <w:pPr>
        <w:pStyle w:val="32"/>
        <w:numPr>
          <w:ilvl w:val="0"/>
          <w:numId w:val="15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对照干预</w:t>
      </w:r>
    </w:p>
    <w:p w14:paraId="68CE0C52">
      <w:pPr>
        <w:pStyle w:val="32"/>
        <w:numPr>
          <w:ilvl w:val="0"/>
          <w:numId w:val="1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一般而言，诊断、治疗或预防性干预试验中对照组的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，应得到公认有效的干预。</w:t>
      </w:r>
    </w:p>
    <w:p w14:paraId="43BB93B5">
      <w:pPr>
        <w:pStyle w:val="32"/>
        <w:numPr>
          <w:ilvl w:val="0"/>
          <w:numId w:val="1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安慰剂或不予治疗的对照，应符合第一章"三、临床研究中对照的选择"所提出的标准。</w:t>
      </w:r>
    </w:p>
    <w:p w14:paraId="0E1E7281">
      <w:pPr>
        <w:pStyle w:val="32"/>
        <w:numPr>
          <w:ilvl w:val="0"/>
          <w:numId w:val="15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如果研究剥夺了</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接受公认有效干预的权利，因而使他们暴露于严重的损害，特别是如果损害是不可逆的，这样的研究显然是不道德的。</w:t>
      </w:r>
    </w:p>
    <w:p w14:paraId="411B79FB">
      <w:pPr>
        <w:pStyle w:val="32"/>
        <w:numPr>
          <w:ilvl w:val="0"/>
          <w:numId w:val="15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其他适当的医疗和保护措施</w:t>
      </w:r>
    </w:p>
    <w:p w14:paraId="56237816">
      <w:pPr>
        <w:pStyle w:val="32"/>
        <w:numPr>
          <w:ilvl w:val="0"/>
          <w:numId w:val="153"/>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自愿退出研究或提前中止研究时拟采取的措施恰当。</w:t>
      </w:r>
    </w:p>
    <w:p w14:paraId="29C2BF08">
      <w:pPr>
        <w:pStyle w:val="32"/>
        <w:numPr>
          <w:ilvl w:val="0"/>
          <w:numId w:val="15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在研究过程中，为</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提供适当的医疗保健。</w:t>
      </w:r>
    </w:p>
    <w:p w14:paraId="2F2763FC">
      <w:pPr>
        <w:pStyle w:val="32"/>
        <w:numPr>
          <w:ilvl w:val="0"/>
          <w:numId w:val="15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为</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提供适当的医疗监测、心理与社会支持。</w:t>
      </w:r>
    </w:p>
    <w:p w14:paraId="1533785E">
      <w:pPr>
        <w:pStyle w:val="32"/>
        <w:spacing w:after="0" w:line="240" w:lineRule="auto"/>
        <w:rPr>
          <w:rStyle w:val="14"/>
          <w:rFonts w:ascii="宋体" w:hAnsi="宋体" w:eastAsia="宋体" w:cs="宋体"/>
          <w:sz w:val="21"/>
          <w:szCs w:val="21"/>
          <w:lang w:val="zh-CN"/>
        </w:rPr>
      </w:pPr>
    </w:p>
    <w:p w14:paraId="729D5C0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2.发生与试验相关的损害时，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的治疗与补偿</w:t>
      </w:r>
    </w:p>
    <w:p w14:paraId="19DF728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2.1规则</w:t>
      </w:r>
    </w:p>
    <w:p w14:paraId="070C8464">
      <w:pPr>
        <w:pStyle w:val="32"/>
        <w:numPr>
          <w:ilvl w:val="0"/>
          <w:numId w:val="152"/>
        </w:numPr>
        <w:spacing w:after="0" w:line="240" w:lineRule="auto"/>
        <w:ind w:hanging="420" w:firstLineChars="0"/>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因参加研究而受到伤害，应保证其有权获得对这类伤害的免费医疗，以及经济或其他补助，作为对于造成的任何损伤、残疾或障碍的公正补偿。</w:t>
      </w:r>
    </w:p>
    <w:p w14:paraId="063FB38B">
      <w:pPr>
        <w:pStyle w:val="32"/>
        <w:numPr>
          <w:ilvl w:val="0"/>
          <w:numId w:val="15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如果由于参加研究而死亡，他们的受赡养人有权得到补偿。</w:t>
      </w:r>
    </w:p>
    <w:p w14:paraId="54D78C59">
      <w:pPr>
        <w:pStyle w:val="32"/>
        <w:numPr>
          <w:ilvl w:val="0"/>
          <w:numId w:val="152"/>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决不能被要求放弃获得补偿的权力。</w:t>
      </w:r>
    </w:p>
    <w:p w14:paraId="6C301CA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我国GCP规定</w:t>
      </w:r>
    </w:p>
    <w:p w14:paraId="0CC82935">
      <w:pPr>
        <w:pStyle w:val="32"/>
        <w:numPr>
          <w:ilvl w:val="0"/>
          <w:numId w:val="15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伦理委员会应从保障</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权益的角度严格按下列各项审议试验方案：……</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 xml:space="preserve">因参加临床试验而受到损害甚至发生死亡时，给予的治疗和/或保险措施。   </w:t>
      </w:r>
    </w:p>
    <w:p w14:paraId="75E19783">
      <w:pPr>
        <w:pStyle w:val="32"/>
        <w:numPr>
          <w:ilvl w:val="0"/>
          <w:numId w:val="15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研究者或其指定的代表必须向</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说明有关临床试验的详细情况：……如发生与试验相关的损害时，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有权获得治疗和相应的补偿</w:t>
      </w:r>
      <w:r>
        <w:rPr>
          <w:rStyle w:val="14"/>
          <w:rFonts w:hint="eastAsia" w:hAnsi="宋体" w:eastAsia="宋体" w:cs="宋体"/>
          <w:sz w:val="21"/>
          <w:szCs w:val="21"/>
          <w:lang w:val="zh-CN"/>
        </w:rPr>
        <w:t>。</w:t>
      </w:r>
    </w:p>
    <w:p w14:paraId="6A7E84CF">
      <w:pPr>
        <w:pStyle w:val="32"/>
        <w:numPr>
          <w:ilvl w:val="0"/>
          <w:numId w:val="15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申办者应对参加临床试验的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提供保险，对于发生与试验相关的损害或死亡的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承担治疗的费用及相应的经济补偿。申办者应向研究者提供法律上与经济上的担保，但由医疗事故所致者除外。</w:t>
      </w:r>
    </w:p>
    <w:p w14:paraId="12B9DBB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2.2公正的补偿和免费医疗</w:t>
      </w:r>
    </w:p>
    <w:p w14:paraId="7F2F694D">
      <w:pPr>
        <w:pStyle w:val="32"/>
        <w:numPr>
          <w:ilvl w:val="0"/>
          <w:numId w:val="15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可获得补偿和免费医疗的伤害类型，包括（但不限于）：</w:t>
      </w:r>
    </w:p>
    <w:p w14:paraId="48808264">
      <w:pPr>
        <w:pStyle w:val="32"/>
        <w:numPr>
          <w:ilvl w:val="0"/>
          <w:numId w:val="154"/>
        </w:numPr>
        <w:spacing w:after="0" w:line="240" w:lineRule="auto"/>
        <w:ind w:hanging="420" w:firstLineChars="0"/>
        <w:rPr>
          <w:rStyle w:val="14"/>
          <w:rFonts w:ascii="宋体" w:hAnsi="宋体" w:eastAsia="宋体" w:cs="宋体"/>
          <w:sz w:val="21"/>
          <w:szCs w:val="21"/>
          <w:lang w:val="zh-CN"/>
        </w:rPr>
      </w:pPr>
      <w:r>
        <w:rPr>
          <w:rStyle w:val="14"/>
          <w:rFonts w:hint="eastAsia" w:ascii="宋体" w:hAnsi="宋体" w:eastAsia="宋体" w:cs="宋体"/>
          <w:sz w:val="21"/>
          <w:szCs w:val="21"/>
          <w:lang w:val="zh-CN"/>
        </w:rPr>
        <w:t>完全为实现研究目的而执行研究程序或干预措施造成的损害，</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有无可争议的免费医疗和补偿的权利。</w:t>
      </w:r>
    </w:p>
    <w:p w14:paraId="0517168A">
      <w:pPr>
        <w:pStyle w:val="32"/>
        <w:numPr>
          <w:ilvl w:val="0"/>
          <w:numId w:val="154"/>
        </w:numPr>
        <w:tabs>
          <w:tab w:val="left" w:pos="852"/>
        </w:tabs>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非预期的或不可预见的不良反应，必须被假定为是可获得免费医疗和补偿的。药物试验早期阶段</w:t>
      </w:r>
      <w:r>
        <w:rPr>
          <w:rStyle w:val="14"/>
          <w:rFonts w:hint="eastAsia" w:hAnsi="宋体" w:eastAsia="宋体" w:cs="宋体"/>
          <w:sz w:val="21"/>
          <w:szCs w:val="21"/>
          <w:lang w:val="zh-CN"/>
        </w:rPr>
        <w:t>（</w:t>
      </w:r>
      <w:r>
        <w:rPr>
          <w:rStyle w:val="14"/>
          <w:rFonts w:hint="eastAsia" w:ascii="宋体" w:hAnsi="宋体" w:eastAsia="宋体" w:cs="宋体"/>
          <w:sz w:val="21"/>
          <w:szCs w:val="21"/>
          <w:lang w:val="zh-CN"/>
        </w:rPr>
        <w:t>Ⅰ期试验和Ⅱ期试验的早期</w:t>
      </w:r>
      <w:r>
        <w:rPr>
          <w:rStyle w:val="14"/>
          <w:rFonts w:hint="eastAsia" w:hAnsi="宋体" w:eastAsia="宋体" w:cs="宋体"/>
          <w:sz w:val="21"/>
          <w:szCs w:val="21"/>
          <w:lang w:val="zh-CN"/>
        </w:rPr>
        <w:t>）</w:t>
      </w:r>
      <w:r>
        <w:rPr>
          <w:rStyle w:val="14"/>
          <w:rFonts w:hint="eastAsia" w:ascii="宋体" w:hAnsi="宋体" w:eastAsia="宋体" w:cs="宋体"/>
          <w:sz w:val="21"/>
          <w:szCs w:val="21"/>
          <w:lang w:val="zh-CN"/>
        </w:rPr>
        <w:t>，一般认为研究药物没有把</w:t>
      </w:r>
    </w:p>
    <w:p w14:paraId="60562657">
      <w:pPr>
        <w:pStyle w:val="32"/>
        <w:spacing w:after="0" w:line="240" w:lineRule="auto"/>
        <w:ind w:left="420" w:firstLine="720"/>
        <w:rPr>
          <w:rStyle w:val="14"/>
          <w:rFonts w:ascii="宋体" w:hAnsi="宋体" w:eastAsia="宋体" w:cs="宋体"/>
          <w:sz w:val="21"/>
          <w:szCs w:val="21"/>
          <w:lang w:val="zh-CN"/>
        </w:rPr>
      </w:pPr>
      <w:r>
        <w:rPr>
          <w:rStyle w:val="14"/>
          <w:rFonts w:hint="eastAsia" w:ascii="宋体" w:hAnsi="宋体" w:eastAsia="宋体" w:cs="宋体"/>
          <w:sz w:val="21"/>
          <w:szCs w:val="21"/>
          <w:lang w:val="zh-CN"/>
        </w:rPr>
        <w:t>握会给个体</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提供直接受益的前景；因此，作为这种研究的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受到伤害或残疾，通常应得到补偿。</w:t>
      </w:r>
    </w:p>
    <w:p w14:paraId="65F1512A">
      <w:pPr>
        <w:pStyle w:val="32"/>
        <w:numPr>
          <w:ilvl w:val="0"/>
          <w:numId w:val="154"/>
        </w:numPr>
        <w:spacing w:after="0" w:line="240" w:lineRule="auto"/>
        <w:ind w:left="1140" w:hanging="420"/>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的死亡或残疾是参加研究的直接后果，其受</w:t>
      </w:r>
      <w:r>
        <w:rPr>
          <w:rStyle w:val="14"/>
          <w:rFonts w:hint="eastAsia" w:hAnsi="宋体" w:eastAsia="宋体" w:cs="宋体"/>
          <w:sz w:val="21"/>
          <w:szCs w:val="21"/>
          <w:lang w:val="zh-CN"/>
        </w:rPr>
        <w:t>赡养</w:t>
      </w:r>
      <w:r>
        <w:rPr>
          <w:rStyle w:val="14"/>
          <w:rFonts w:hint="eastAsia" w:ascii="宋体" w:hAnsi="宋体" w:eastAsia="宋体" w:cs="宋体"/>
          <w:sz w:val="21"/>
          <w:szCs w:val="21"/>
          <w:lang w:val="zh-CN"/>
        </w:rPr>
        <w:t>人有获得物质和经济补偿的权利。</w:t>
      </w:r>
    </w:p>
    <w:p w14:paraId="75C3B7DC">
      <w:pPr>
        <w:pStyle w:val="32"/>
        <w:numPr>
          <w:ilvl w:val="0"/>
          <w:numId w:val="15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可以不给予补偿和免费医疗的伤害类型</w:t>
      </w:r>
    </w:p>
    <w:p w14:paraId="70715992">
      <w:pPr>
        <w:pStyle w:val="32"/>
        <w:numPr>
          <w:ilvl w:val="0"/>
          <w:numId w:val="15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研究性治疗、诊断或预防干预措施的预期不良反应，与标准医疗实践中公认的干预措施有关的不良反应种类相同（以阳性对照药物的说明书为准），并且在知情同意书中告知此类不良反应将不予补偿或免费医疗。</w:t>
      </w:r>
    </w:p>
    <w:p w14:paraId="4786308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2.3知情同意</w:t>
      </w:r>
    </w:p>
    <w:p w14:paraId="0201441A">
      <w:pPr>
        <w:pStyle w:val="32"/>
        <w:numPr>
          <w:ilvl w:val="0"/>
          <w:numId w:val="15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知情同意应告知伦理委员会的审查决定：哪些伤害将获得补偿和免费医疗，哪些伤害将不能得到补偿。</w:t>
      </w:r>
    </w:p>
    <w:p w14:paraId="26E5554C">
      <w:pPr>
        <w:pStyle w:val="32"/>
        <w:numPr>
          <w:ilvl w:val="0"/>
          <w:numId w:val="155"/>
        </w:numPr>
        <w:spacing w:after="0" w:line="240" w:lineRule="auto"/>
        <w:ind w:left="840" w:hanging="420"/>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绝不能被要求放弃他们获得赔偿的权利，知情同意书不能暗示</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可能放弃他们为损伤、残疾或障碍寻求赔偿权利的文字。</w:t>
      </w:r>
    </w:p>
    <w:p w14:paraId="4C4CCB34">
      <w:pPr>
        <w:pStyle w:val="32"/>
        <w:numPr>
          <w:ilvl w:val="0"/>
          <w:numId w:val="156"/>
        </w:numPr>
        <w:spacing w:after="0" w:line="240" w:lineRule="auto"/>
        <w:ind w:left="795" w:hanging="420"/>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绝不能被要求必须指出研究者的疏忽或缺乏比较好的技能才能索取免费医疗或赔偿，知情同意书不应包含如果发生意外伤害研究者将免于责任的文字。</w:t>
      </w:r>
    </w:p>
    <w:p w14:paraId="14020DE4">
      <w:pPr>
        <w:pStyle w:val="32"/>
        <w:numPr>
          <w:ilvl w:val="0"/>
          <w:numId w:val="156"/>
        </w:numPr>
        <w:spacing w:after="0" w:line="240" w:lineRule="auto"/>
        <w:ind w:hanging="420" w:firstLineChars="0"/>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应被告知他们将不需要提出诉讼以得到他们因伤害而有权获得的免费医疗或补偿。</w:t>
      </w:r>
    </w:p>
    <w:p w14:paraId="2DDB900A">
      <w:pPr>
        <w:pStyle w:val="32"/>
        <w:numPr>
          <w:ilvl w:val="0"/>
          <w:numId w:val="156"/>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应被告知负责对研究伤害提供医疗的机构，负责赔偿的组织。</w:t>
      </w:r>
    </w:p>
    <w:p w14:paraId="5B31898D">
      <w:pPr>
        <w:pStyle w:val="32"/>
        <w:spacing w:after="0" w:line="240" w:lineRule="auto"/>
        <w:ind w:left="375" w:firstLine="0"/>
        <w:rPr>
          <w:rStyle w:val="14"/>
          <w:rFonts w:ascii="宋体" w:hAnsi="宋体" w:eastAsia="宋体" w:cs="宋体"/>
          <w:sz w:val="21"/>
          <w:szCs w:val="21"/>
          <w:lang w:val="zh-CN"/>
        </w:rPr>
      </w:pPr>
      <w:r>
        <w:rPr>
          <w:rStyle w:val="14"/>
          <w:rFonts w:hint="eastAsia" w:ascii="宋体" w:hAnsi="宋体" w:eastAsia="宋体" w:cs="宋体"/>
          <w:sz w:val="21"/>
          <w:szCs w:val="21"/>
          <w:lang w:val="zh-CN"/>
        </w:rPr>
        <w:t>2.4申办者的责任</w:t>
      </w:r>
    </w:p>
    <w:p w14:paraId="1676CFB9">
      <w:pPr>
        <w:pStyle w:val="32"/>
        <w:numPr>
          <w:ilvl w:val="0"/>
          <w:numId w:val="15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应对参加临床试验的</w:t>
      </w:r>
      <w:r>
        <w:rPr>
          <w:rStyle w:val="14"/>
          <w:rFonts w:hint="eastAsia" w:hAnsi="宋体" w:eastAsia="宋体" w:cs="宋体"/>
          <w:sz w:val="21"/>
          <w:szCs w:val="21"/>
          <w:lang w:val="zh-CN"/>
        </w:rPr>
        <w:t>试验参与者</w:t>
      </w:r>
      <w:r>
        <w:rPr>
          <w:rStyle w:val="14"/>
          <w:rFonts w:hint="eastAsia" w:ascii="宋体" w:hAnsi="宋体" w:eastAsia="宋体" w:cs="宋体"/>
          <w:sz w:val="21"/>
          <w:szCs w:val="21"/>
          <w:lang w:val="zh-CN"/>
        </w:rPr>
        <w:t>提供保险，对于发生与试验相关的损害或死亡的受试</w:t>
      </w:r>
    </w:p>
    <w:p w14:paraId="670BBC74">
      <w:pPr>
        <w:pStyle w:val="32"/>
        <w:spacing w:after="0" w:line="240" w:lineRule="auto"/>
        <w:ind w:firstLine="793" w:firstLineChars="378"/>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承担治疗的费用及相应的经济补偿。</w:t>
      </w:r>
    </w:p>
    <w:p w14:paraId="48499C96">
      <w:pPr>
        <w:pStyle w:val="32"/>
        <w:numPr>
          <w:ilvl w:val="0"/>
          <w:numId w:val="15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应向研究者提供法律上与经济上的担保，但由医疗事故所致者除外。</w:t>
      </w:r>
    </w:p>
    <w:p w14:paraId="4B08F64A">
      <w:pPr>
        <w:pStyle w:val="32"/>
        <w:numPr>
          <w:ilvl w:val="0"/>
          <w:numId w:val="15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w:t>
      </w:r>
      <w:r>
        <w:rPr>
          <w:rStyle w:val="14"/>
          <w:rFonts w:hint="eastAsia" w:hAnsi="宋体" w:eastAsia="宋体" w:cs="宋体"/>
          <w:sz w:val="21"/>
          <w:szCs w:val="21"/>
          <w:lang w:val="zh-CN"/>
        </w:rPr>
        <w:t>申办者</w:t>
      </w:r>
      <w:r>
        <w:rPr>
          <w:rStyle w:val="14"/>
          <w:rFonts w:hint="eastAsia" w:ascii="宋体" w:hAnsi="宋体" w:eastAsia="宋体" w:cs="宋体"/>
          <w:sz w:val="21"/>
          <w:szCs w:val="21"/>
          <w:lang w:val="zh-CN"/>
        </w:rPr>
        <w:t>非企业，研究者同时承担</w:t>
      </w:r>
      <w:r>
        <w:rPr>
          <w:rStyle w:val="14"/>
          <w:rFonts w:hint="eastAsia" w:hAnsi="宋体" w:eastAsia="宋体" w:cs="宋体"/>
          <w:sz w:val="21"/>
          <w:szCs w:val="21"/>
          <w:lang w:val="zh-CN"/>
        </w:rPr>
        <w:t>申办者</w:t>
      </w:r>
      <w:r>
        <w:rPr>
          <w:rStyle w:val="14"/>
          <w:rFonts w:hint="eastAsia" w:ascii="宋体" w:hAnsi="宋体" w:eastAsia="宋体" w:cs="宋体"/>
          <w:sz w:val="21"/>
          <w:szCs w:val="21"/>
          <w:lang w:val="zh-CN"/>
        </w:rPr>
        <w:t>的责任时，则研究者及研究机构负责承保或赔偿</w:t>
      </w:r>
      <w:r>
        <w:rPr>
          <w:rStyle w:val="14"/>
          <w:rFonts w:hint="eastAsia" w:hAnsi="宋体" w:eastAsia="宋体" w:cs="宋体"/>
          <w:sz w:val="21"/>
          <w:szCs w:val="21"/>
          <w:lang w:val="zh-CN"/>
        </w:rPr>
        <w:t>。</w:t>
      </w:r>
    </w:p>
    <w:p w14:paraId="31DD5FE2">
      <w:pPr>
        <w:pStyle w:val="32"/>
        <w:spacing w:after="0" w:line="240" w:lineRule="auto"/>
        <w:ind w:left="375" w:firstLine="0"/>
        <w:rPr>
          <w:rStyle w:val="14"/>
          <w:rFonts w:ascii="宋体" w:hAnsi="宋体" w:eastAsia="宋体" w:cs="宋体"/>
          <w:sz w:val="21"/>
          <w:szCs w:val="21"/>
          <w:lang w:val="zh-CN"/>
        </w:rPr>
      </w:pPr>
      <w:r>
        <w:rPr>
          <w:rStyle w:val="14"/>
          <w:rFonts w:hint="eastAsia" w:ascii="宋体" w:hAnsi="宋体" w:eastAsia="宋体" w:cs="宋体"/>
          <w:sz w:val="21"/>
          <w:szCs w:val="21"/>
          <w:lang w:val="zh-CN"/>
        </w:rPr>
        <w:t>2.5保险</w:t>
      </w:r>
    </w:p>
    <w:p w14:paraId="5DB9AA17">
      <w:pPr>
        <w:pStyle w:val="32"/>
        <w:numPr>
          <w:ilvl w:val="0"/>
          <w:numId w:val="158"/>
        </w:numPr>
        <w:spacing w:after="0" w:line="240" w:lineRule="auto"/>
        <w:ind w:hanging="420" w:firstLineChars="0"/>
        <w:rPr>
          <w:rStyle w:val="14"/>
          <w:rFonts w:ascii="宋体" w:hAnsi="宋体" w:eastAsia="宋体" w:cs="宋体"/>
          <w:sz w:val="21"/>
          <w:szCs w:val="21"/>
          <w:lang w:val="zh-CN"/>
        </w:rPr>
      </w:pPr>
      <w:r>
        <w:rPr>
          <w:rStyle w:val="14"/>
          <w:rFonts w:hint="eastAsia" w:ascii="宋体" w:hAnsi="宋体" w:eastAsia="宋体" w:cs="宋体"/>
          <w:sz w:val="21"/>
          <w:szCs w:val="21"/>
          <w:lang w:val="zh-CN"/>
        </w:rPr>
        <w:t>申办者为临床研究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购买的保险，分担了申办者的赔偿风险，但并不降低临床研究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风险发生的概率。</w:t>
      </w:r>
    </w:p>
    <w:p w14:paraId="36BF0BA6">
      <w:pPr>
        <w:pStyle w:val="32"/>
        <w:numPr>
          <w:ilvl w:val="0"/>
          <w:numId w:val="15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为</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购买了保险，不能因此免除申办者的责任。</w:t>
      </w:r>
    </w:p>
    <w:p w14:paraId="5A2EAA3B">
      <w:pPr>
        <w:pStyle w:val="32"/>
        <w:numPr>
          <w:ilvl w:val="0"/>
          <w:numId w:val="159"/>
        </w:numPr>
        <w:tabs>
          <w:tab w:val="left" w:pos="852"/>
        </w:tabs>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当试验相关的损害不属于保险赔付范围，</w:t>
      </w:r>
      <w:r>
        <w:rPr>
          <w:rStyle w:val="14"/>
          <w:rFonts w:hint="eastAsia" w:hAnsi="宋体" w:eastAsia="宋体" w:cs="宋体"/>
          <w:sz w:val="21"/>
          <w:szCs w:val="21"/>
          <w:lang w:val="zh-CN"/>
        </w:rPr>
        <w:t>申办者</w:t>
      </w:r>
      <w:r>
        <w:rPr>
          <w:rStyle w:val="14"/>
          <w:rFonts w:hint="eastAsia" w:ascii="宋体" w:hAnsi="宋体" w:eastAsia="宋体" w:cs="宋体"/>
          <w:sz w:val="21"/>
          <w:szCs w:val="21"/>
          <w:lang w:val="zh-CN"/>
        </w:rPr>
        <w:t>应提供免费医疗和补偿。</w:t>
      </w:r>
    </w:p>
    <w:p w14:paraId="4B458BD9">
      <w:pPr>
        <w:pStyle w:val="32"/>
        <w:numPr>
          <w:ilvl w:val="0"/>
          <w:numId w:val="15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不能免除申办者向保险公司索赔的责任。</w:t>
      </w:r>
    </w:p>
    <w:p w14:paraId="4612EBAF">
      <w:pPr>
        <w:pStyle w:val="32"/>
        <w:numPr>
          <w:ilvl w:val="0"/>
          <w:numId w:val="15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不能免除申办者先行赔付的责任。</w:t>
      </w:r>
    </w:p>
    <w:p w14:paraId="5EE868F9">
      <w:pPr>
        <w:pStyle w:val="32"/>
        <w:numPr>
          <w:ilvl w:val="0"/>
          <w:numId w:val="15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伦理委员会应审核保险是否涵盖本项临床研究的</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，损害赔偿的范围，以及保险公司的免责条款。</w:t>
      </w:r>
    </w:p>
    <w:p w14:paraId="150FEE7A">
      <w:pPr>
        <w:pStyle w:val="32"/>
        <w:numPr>
          <w:ilvl w:val="0"/>
          <w:numId w:val="15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伦理委员会应关注保险是否涵盖研究者执行临床试验过程中的职业性疏忽。</w:t>
      </w:r>
    </w:p>
    <w:p w14:paraId="1F3C85E1">
      <w:pPr>
        <w:pStyle w:val="32"/>
        <w:numPr>
          <w:ilvl w:val="0"/>
          <w:numId w:val="15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申办者应寻求无需过错举证的研究保险。</w:t>
      </w:r>
    </w:p>
    <w:p w14:paraId="6FE8CE1F">
      <w:pPr>
        <w:pStyle w:val="32"/>
        <w:spacing w:after="0" w:line="240" w:lineRule="auto"/>
        <w:rPr>
          <w:rStyle w:val="14"/>
          <w:rFonts w:ascii="宋体" w:hAnsi="宋体" w:eastAsia="宋体" w:cs="宋体"/>
          <w:sz w:val="21"/>
          <w:szCs w:val="21"/>
          <w:lang w:val="zh-CN"/>
        </w:rPr>
      </w:pPr>
    </w:p>
    <w:p w14:paraId="51385CB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3.研究结束后的治疗安排</w:t>
      </w:r>
    </w:p>
    <w:p w14:paraId="7A4ACAFF">
      <w:pPr>
        <w:pStyle w:val="32"/>
        <w:numPr>
          <w:ilvl w:val="0"/>
          <w:numId w:val="160"/>
        </w:numPr>
        <w:tabs>
          <w:tab w:val="left" w:pos="426"/>
        </w:tabs>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具备有效的常规治疗方法</w:t>
      </w:r>
    </w:p>
    <w:p w14:paraId="225AA102">
      <w:pPr>
        <w:pStyle w:val="32"/>
        <w:numPr>
          <w:ilvl w:val="0"/>
          <w:numId w:val="16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常规治疗的安排：方案应说明提供方式、负责支付费用的个人或组织，以及提</w:t>
      </w:r>
    </w:p>
    <w:p w14:paraId="09DF93AF">
      <w:pPr>
        <w:pStyle w:val="32"/>
        <w:spacing w:after="0" w:line="240" w:lineRule="auto"/>
        <w:ind w:left="420" w:firstLine="720"/>
        <w:rPr>
          <w:rStyle w:val="14"/>
          <w:rFonts w:ascii="宋体" w:hAnsi="宋体" w:eastAsia="宋体" w:cs="宋体"/>
          <w:sz w:val="21"/>
          <w:szCs w:val="21"/>
          <w:lang w:val="zh-CN"/>
        </w:rPr>
      </w:pPr>
      <w:r>
        <w:rPr>
          <w:rStyle w:val="14"/>
          <w:rFonts w:hint="eastAsia" w:ascii="宋体" w:hAnsi="宋体" w:eastAsia="宋体" w:cs="宋体"/>
          <w:sz w:val="21"/>
          <w:szCs w:val="21"/>
          <w:lang w:val="zh-CN"/>
        </w:rPr>
        <w:t>供多长时间。研究后的常规治疗安排，也可以不免费，但应告知</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继续医</w:t>
      </w:r>
    </w:p>
    <w:p w14:paraId="61315EC3">
      <w:pPr>
        <w:pStyle w:val="32"/>
        <w:spacing w:after="0" w:line="240" w:lineRule="auto"/>
        <w:ind w:left="720" w:firstLine="420"/>
        <w:rPr>
          <w:rStyle w:val="14"/>
          <w:rFonts w:ascii="宋体" w:hAnsi="宋体" w:eastAsia="宋体" w:cs="宋体"/>
          <w:sz w:val="21"/>
          <w:szCs w:val="21"/>
          <w:lang w:val="zh-CN"/>
        </w:rPr>
      </w:pPr>
      <w:r>
        <w:rPr>
          <w:rStyle w:val="14"/>
          <w:rFonts w:hint="eastAsia" w:ascii="宋体" w:hAnsi="宋体" w:eastAsia="宋体" w:cs="宋体"/>
          <w:sz w:val="21"/>
          <w:szCs w:val="21"/>
          <w:lang w:val="zh-CN"/>
        </w:rPr>
        <w:t>疗的途径。</w:t>
      </w:r>
    </w:p>
    <w:p w14:paraId="3E0D55E7">
      <w:pPr>
        <w:pStyle w:val="32"/>
        <w:numPr>
          <w:ilvl w:val="0"/>
          <w:numId w:val="16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可以治愈的急性疾病，研究结束时没有痊愈：可与申办者商议，免费提供</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标准治疗，直至疾病痊愈。这体现了</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参加研究的受益与风险的平衡。</w:t>
      </w:r>
    </w:p>
    <w:p w14:paraId="20A54A73">
      <w:pPr>
        <w:pStyle w:val="32"/>
        <w:numPr>
          <w:ilvl w:val="0"/>
          <w:numId w:val="16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没有被证明有效的干预措施，或</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对已有的干预措施无效</w:t>
      </w:r>
    </w:p>
    <w:p w14:paraId="0025D4DB">
      <w:pPr>
        <w:pStyle w:val="32"/>
        <w:numPr>
          <w:ilvl w:val="0"/>
          <w:numId w:val="161"/>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 xml:space="preserve">参加临床试验后，研究者和专家都认为，研究干预措施可能有益；研究结束后，疾病还需要继续治疗，能够继续给予研究干预措施吗？ </w:t>
      </w:r>
    </w:p>
    <w:p w14:paraId="46637614">
      <w:pPr>
        <w:pStyle w:val="32"/>
        <w:numPr>
          <w:ilvl w:val="3"/>
          <w:numId w:val="16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根据赫尔辛基宣言，研究结束后，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可以获得经研究确定为有益的干预措施。</w:t>
      </w:r>
    </w:p>
    <w:p w14:paraId="70B5B0A9">
      <w:pPr>
        <w:pStyle w:val="32"/>
        <w:numPr>
          <w:ilvl w:val="3"/>
          <w:numId w:val="16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根据我国药品管理法，试验药物在获准上市前不能用于临床医疗。</w:t>
      </w:r>
    </w:p>
    <w:p w14:paraId="054731FE">
      <w:pPr>
        <w:pStyle w:val="32"/>
        <w:numPr>
          <w:ilvl w:val="0"/>
          <w:numId w:val="16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在这种情况下，如何既符合伦理准则，又符合法律法规？</w:t>
      </w:r>
    </w:p>
    <w:p w14:paraId="175594A6">
      <w:pPr>
        <w:pStyle w:val="32"/>
        <w:numPr>
          <w:ilvl w:val="3"/>
          <w:numId w:val="163"/>
        </w:numPr>
        <w:tabs>
          <w:tab w:val="left" w:pos="852"/>
        </w:tabs>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应针对没有被证明有效的干预措施，或</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对己有的干预措施无效，而研究干预可能有效的情况，设计一项临床试验，与为上市注册而进行临床试验一起，申请</w:t>
      </w:r>
      <w:r>
        <w:rPr>
          <w:rStyle w:val="14"/>
          <w:rFonts w:hint="eastAsia" w:asciiTheme="minorEastAsia" w:hAnsiTheme="minorEastAsia" w:eastAsiaTheme="minorEastAsia" w:cstheme="minorEastAsia"/>
          <w:sz w:val="21"/>
          <w:szCs w:val="21"/>
        </w:rPr>
        <w:t>NMPA</w:t>
      </w:r>
      <w:r>
        <w:rPr>
          <w:rStyle w:val="14"/>
          <w:rFonts w:hint="eastAsia" w:ascii="宋体" w:hAnsi="宋体" w:eastAsia="宋体" w:cs="宋体"/>
          <w:sz w:val="21"/>
          <w:szCs w:val="21"/>
          <w:lang w:val="zh-CN"/>
        </w:rPr>
        <w:t>临床研究批件，并获得批准。</w:t>
      </w:r>
    </w:p>
    <w:p w14:paraId="493460B2">
      <w:pPr>
        <w:pStyle w:val="32"/>
        <w:numPr>
          <w:ilvl w:val="0"/>
          <w:numId w:val="16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在为上市注册的临床研究结束后，确认</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满足以下条件：没有被证明有效的干预措施，或已有的干预措施无效，研究者和专家都认为，研究干预措施可能有益，并得到患者或</w:t>
      </w:r>
      <w:r>
        <w:rPr>
          <w:rStyle w:val="14"/>
          <w:rFonts w:hint="eastAsia" w:hAnsi="宋体" w:eastAsia="宋体" w:cs="宋体"/>
          <w:sz w:val="21"/>
          <w:szCs w:val="21"/>
        </w:rPr>
        <w:t>法定代理人</w:t>
      </w:r>
      <w:r>
        <w:rPr>
          <w:rStyle w:val="14"/>
          <w:rFonts w:hint="eastAsia" w:ascii="宋体" w:hAnsi="宋体" w:eastAsia="宋体" w:cs="宋体"/>
          <w:sz w:val="21"/>
          <w:szCs w:val="21"/>
          <w:lang w:val="zh-CN"/>
        </w:rPr>
        <w:t>的知情同意。</w:t>
      </w:r>
    </w:p>
    <w:p w14:paraId="796E75EF">
      <w:pPr>
        <w:pStyle w:val="32"/>
        <w:numPr>
          <w:ilvl w:val="0"/>
          <w:numId w:val="16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在这种情况下，可进入第2项研究，继续为此类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提供研究干预措施，评估其安全性和有效性。</w:t>
      </w:r>
    </w:p>
    <w:p w14:paraId="1DAF59E5">
      <w:pPr>
        <w:pStyle w:val="32"/>
        <w:spacing w:after="0" w:line="240" w:lineRule="auto"/>
        <w:rPr>
          <w:rStyle w:val="14"/>
          <w:rFonts w:ascii="宋体" w:hAnsi="宋体" w:eastAsia="宋体" w:cs="宋体"/>
          <w:sz w:val="21"/>
          <w:szCs w:val="21"/>
          <w:lang w:val="zh-CN"/>
        </w:rPr>
      </w:pPr>
    </w:p>
    <w:p w14:paraId="6B187AA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三、急诊紧急医疗，出于同情使用硏究性治疗</w:t>
      </w:r>
    </w:p>
    <w:p w14:paraId="25258DE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1.定义</w:t>
      </w:r>
    </w:p>
    <w:p w14:paraId="2CC1332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指在一些情况下，患者不能通过参加临床试验来获得临床试验用药物时，允许在开展临床试验的机构内使用尚未得到批准上市的药物给急需的患者。拓展性同情使用临床试验用药物是临床试验的一种形式，也称拓展性临床试验。</w:t>
      </w:r>
    </w:p>
    <w:p w14:paraId="0AD52CE7">
      <w:pPr>
        <w:pStyle w:val="32"/>
        <w:spacing w:after="0" w:line="240" w:lineRule="auto"/>
        <w:rPr>
          <w:rStyle w:val="14"/>
          <w:rFonts w:ascii="宋体" w:hAnsi="宋体" w:eastAsia="宋体" w:cs="宋体"/>
          <w:sz w:val="21"/>
          <w:szCs w:val="21"/>
          <w:lang w:val="zh-CN"/>
        </w:rPr>
      </w:pPr>
    </w:p>
    <w:p w14:paraId="2F284E7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2.规则</w:t>
      </w:r>
    </w:p>
    <w:p w14:paraId="38562B8E">
      <w:pPr>
        <w:pStyle w:val="32"/>
        <w:spacing w:after="0" w:line="240" w:lineRule="auto"/>
        <w:ind w:firstLine="382" w:firstLineChars="182"/>
        <w:rPr>
          <w:rStyle w:val="14"/>
          <w:rFonts w:ascii="宋体" w:hAnsi="宋体" w:eastAsia="宋体" w:cs="宋体"/>
          <w:sz w:val="21"/>
          <w:szCs w:val="21"/>
          <w:lang w:val="zh-CN"/>
        </w:rPr>
      </w:pPr>
      <w:r>
        <w:rPr>
          <w:rStyle w:val="14"/>
          <w:rFonts w:hint="eastAsia" w:ascii="宋体" w:hAnsi="宋体" w:eastAsia="宋体" w:cs="宋体"/>
          <w:sz w:val="21"/>
          <w:szCs w:val="21"/>
          <w:lang w:val="zh-CN"/>
        </w:rPr>
        <w:t>急诊紧急医疗情况下，出于同情或人道主义使用研究性治疗应像研究一样事先获得伦理委员会的审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和批准。</w:t>
      </w:r>
    </w:p>
    <w:p w14:paraId="5CD1ACA4">
      <w:pPr>
        <w:pStyle w:val="32"/>
        <w:spacing w:after="0" w:line="240" w:lineRule="auto"/>
        <w:rPr>
          <w:rStyle w:val="14"/>
          <w:rFonts w:ascii="宋体" w:hAnsi="宋体" w:eastAsia="宋体" w:cs="宋体"/>
          <w:sz w:val="21"/>
          <w:szCs w:val="21"/>
          <w:lang w:val="zh-CN"/>
        </w:rPr>
      </w:pPr>
    </w:p>
    <w:p w14:paraId="72D90969">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3.未获得伦理委员会批准的特殊情况</w:t>
      </w:r>
    </w:p>
    <w:p w14:paraId="0B4AE853">
      <w:pPr>
        <w:pStyle w:val="32"/>
        <w:numPr>
          <w:ilvl w:val="0"/>
          <w:numId w:val="16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特殊情况下，如果满足以下三个标准，并且获得</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或其</w:t>
      </w:r>
      <w:r>
        <w:rPr>
          <w:rStyle w:val="14"/>
          <w:rFonts w:hint="eastAsia" w:hAnsi="宋体" w:eastAsia="宋体" w:cs="宋体"/>
          <w:sz w:val="21"/>
          <w:szCs w:val="21"/>
        </w:rPr>
        <w:t>法定代理人</w:t>
      </w:r>
      <w:r>
        <w:rPr>
          <w:rStyle w:val="14"/>
          <w:rFonts w:hint="eastAsia" w:ascii="宋体" w:hAnsi="宋体" w:eastAsia="宋体" w:cs="宋体"/>
          <w:sz w:val="21"/>
          <w:szCs w:val="21"/>
          <w:lang w:val="zh-CN"/>
        </w:rPr>
        <w:t xml:space="preserve">的知情同意，医生可以在获得伦理委员会批准前出于同情使用研究性治疗： </w:t>
      </w:r>
    </w:p>
    <w:p w14:paraId="53BF7046">
      <w:pPr>
        <w:pStyle w:val="32"/>
        <w:numPr>
          <w:ilvl w:val="0"/>
          <w:numId w:val="16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一个病人处于生命垂危或严重伤害的状况，需要紧急医疗。</w:t>
      </w:r>
    </w:p>
    <w:p w14:paraId="72430924">
      <w:pPr>
        <w:pStyle w:val="32"/>
        <w:numPr>
          <w:ilvl w:val="0"/>
          <w:numId w:val="16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有证据证明该研究性治疗可能有效。</w:t>
      </w:r>
    </w:p>
    <w:p w14:paraId="10C29082">
      <w:pPr>
        <w:pStyle w:val="32"/>
        <w:numPr>
          <w:ilvl w:val="0"/>
          <w:numId w:val="16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并且没有其他可利用的被认为是同样有效或更有效的疗法。</w:t>
      </w:r>
    </w:p>
    <w:p w14:paraId="132E8A65">
      <w:pPr>
        <w:pStyle w:val="32"/>
        <w:numPr>
          <w:ilvl w:val="0"/>
          <w:numId w:val="16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出于同情使用研究性治疗的合理性的报告与证明</w:t>
      </w:r>
    </w:p>
    <w:p w14:paraId="7B7FFCE2">
      <w:pPr>
        <w:pStyle w:val="32"/>
        <w:numPr>
          <w:ilvl w:val="0"/>
          <w:numId w:val="16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医生必须在一星期之内，书面向伦理委员会报告病例的详细情况和所采取行动的合理性。</w:t>
      </w:r>
    </w:p>
    <w:p w14:paraId="78157324">
      <w:pPr>
        <w:pStyle w:val="32"/>
        <w:numPr>
          <w:ilvl w:val="0"/>
          <w:numId w:val="16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并且有独立的医疗专业人员向伦理委员会书面证实，根据上述三条特定的标准，诊治医生使用研究性治疗的判断是合理的。</w:t>
      </w:r>
    </w:p>
    <w:p w14:paraId="69EF34D2">
      <w:pPr>
        <w:pStyle w:val="32"/>
        <w:numPr>
          <w:ilvl w:val="0"/>
          <w:numId w:val="16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伦理委员会对出于同情使用研究性治疗合理性报告的审查，以确认该研究性治疗</w:t>
      </w:r>
    </w:p>
    <w:p w14:paraId="18CA492A">
      <w:pPr>
        <w:pStyle w:val="32"/>
        <w:spacing w:after="0" w:line="240" w:lineRule="auto"/>
        <w:ind w:firstLine="802" w:firstLineChars="382"/>
        <w:rPr>
          <w:rStyle w:val="14"/>
          <w:rFonts w:ascii="宋体" w:hAnsi="宋体" w:eastAsia="宋体" w:cs="宋体"/>
          <w:sz w:val="21"/>
          <w:szCs w:val="21"/>
          <w:lang w:val="zh-CN"/>
        </w:rPr>
      </w:pPr>
      <w:r>
        <w:rPr>
          <w:rStyle w:val="14"/>
          <w:rFonts w:hint="eastAsia" w:ascii="宋体" w:hAnsi="宋体" w:eastAsia="宋体" w:cs="宋体"/>
          <w:sz w:val="21"/>
          <w:szCs w:val="21"/>
          <w:lang w:val="zh-CN"/>
        </w:rPr>
        <w:t>是否符合急诊紧急医疗出于同情使用研究性治疗的规则。</w:t>
      </w:r>
    </w:p>
    <w:p w14:paraId="236580D0">
      <w:pPr>
        <w:pStyle w:val="32"/>
        <w:numPr>
          <w:ilvl w:val="0"/>
          <w:numId w:val="16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如果该研究性治疗没有获得伦理委员会的事先批准，应告知研究者，这个病人的</w:t>
      </w:r>
    </w:p>
    <w:p w14:paraId="080B7A04">
      <w:pPr>
        <w:pStyle w:val="32"/>
        <w:spacing w:after="0" w:line="240" w:lineRule="auto"/>
        <w:ind w:firstLine="802" w:firstLineChars="382"/>
        <w:rPr>
          <w:rStyle w:val="14"/>
          <w:rFonts w:ascii="宋体" w:hAnsi="宋体" w:eastAsia="宋体" w:cs="宋体"/>
          <w:sz w:val="21"/>
          <w:szCs w:val="21"/>
          <w:lang w:val="zh-CN"/>
        </w:rPr>
      </w:pPr>
      <w:r>
        <w:rPr>
          <w:rStyle w:val="14"/>
          <w:rFonts w:hint="eastAsia" w:ascii="宋体" w:hAnsi="宋体" w:eastAsia="宋体" w:cs="宋体"/>
          <w:sz w:val="21"/>
          <w:szCs w:val="21"/>
          <w:lang w:val="zh-CN"/>
        </w:rPr>
        <w:t>数据不可用作研究数据，以后的类似研究性治疗的使用，需要获得伦理委员会的</w:t>
      </w:r>
    </w:p>
    <w:p w14:paraId="3B54A5BF">
      <w:pPr>
        <w:pStyle w:val="32"/>
        <w:spacing w:after="0" w:line="240" w:lineRule="auto"/>
        <w:ind w:firstLine="802" w:firstLineChars="382"/>
        <w:rPr>
          <w:rStyle w:val="14"/>
          <w:rFonts w:ascii="宋体" w:hAnsi="宋体" w:eastAsia="宋体" w:cs="宋体"/>
          <w:sz w:val="21"/>
          <w:szCs w:val="21"/>
          <w:lang w:val="zh-CN"/>
        </w:rPr>
      </w:pPr>
      <w:r>
        <w:rPr>
          <w:rStyle w:val="14"/>
          <w:rFonts w:hint="eastAsia" w:ascii="宋体" w:hAnsi="宋体" w:eastAsia="宋体" w:cs="宋体"/>
          <w:sz w:val="21"/>
          <w:szCs w:val="21"/>
          <w:lang w:val="zh-CN"/>
        </w:rPr>
        <w:t>事先审查和批准。</w:t>
      </w:r>
    </w:p>
    <w:p w14:paraId="3967765D">
      <w:pPr>
        <w:pStyle w:val="32"/>
        <w:spacing w:after="0" w:line="240" w:lineRule="auto"/>
        <w:rPr>
          <w:rStyle w:val="14"/>
          <w:rFonts w:ascii="宋体" w:hAnsi="宋体" w:eastAsia="宋体" w:cs="宋体"/>
          <w:sz w:val="21"/>
          <w:szCs w:val="21"/>
          <w:lang w:val="zh-CN"/>
        </w:rPr>
      </w:pPr>
    </w:p>
    <w:p w14:paraId="5134AFCA">
      <w:pPr>
        <w:pStyle w:val="32"/>
        <w:spacing w:after="0" w:line="240" w:lineRule="auto"/>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第七章</w:t>
      </w:r>
      <w:r>
        <w:rPr>
          <w:rStyle w:val="14"/>
          <w:rFonts w:hint="eastAsia" w:ascii="宋体" w:hAnsi="宋体" w:eastAsia="宋体" w:cs="宋体"/>
          <w:sz w:val="28"/>
          <w:szCs w:val="28"/>
        </w:rPr>
        <w:t xml:space="preserve"> </w:t>
      </w:r>
      <w:r>
        <w:rPr>
          <w:rStyle w:val="14"/>
          <w:rFonts w:hint="eastAsia" w:ascii="宋体" w:hAnsi="宋体" w:eastAsia="宋体" w:cs="宋体"/>
          <w:sz w:val="28"/>
          <w:szCs w:val="28"/>
          <w:lang w:val="zh-CN"/>
        </w:rPr>
        <w:t>隐私和保密</w:t>
      </w:r>
    </w:p>
    <w:p w14:paraId="6D48C8B3">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一、原则</w:t>
      </w:r>
    </w:p>
    <w:p w14:paraId="1C485F95">
      <w:pPr>
        <w:pStyle w:val="32"/>
        <w:spacing w:after="0" w:line="240" w:lineRule="auto"/>
        <w:ind w:firstLine="0"/>
        <w:rPr>
          <w:rStyle w:val="14"/>
          <w:rFonts w:ascii="宋体" w:hAnsi="宋体" w:eastAsia="宋体" w:cs="宋体"/>
          <w:sz w:val="21"/>
          <w:szCs w:val="21"/>
          <w:lang w:val="zh-CN"/>
        </w:rPr>
      </w:pPr>
      <w:r>
        <w:rPr>
          <w:rStyle w:val="14"/>
          <w:rFonts w:hint="eastAsia" w:hAnsi="宋体" w:eastAsia="宋体" w:cs="宋体"/>
          <w:sz w:val="21"/>
          <w:szCs w:val="21"/>
        </w:rPr>
        <w:t xml:space="preserve">    </w:t>
      </w:r>
      <w:r>
        <w:rPr>
          <w:rStyle w:val="14"/>
          <w:rFonts w:hint="eastAsia" w:ascii="宋体" w:hAnsi="宋体" w:eastAsia="宋体" w:cs="宋体"/>
          <w:sz w:val="21"/>
          <w:szCs w:val="21"/>
          <w:lang w:val="zh-CN"/>
        </w:rPr>
        <w:t>必须采取各种预防措施以保护研究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的隐私，必须对他们的个人信息给予保密，以及必须将研究对他们身体、精神和社会完整性的影响最小化。</w:t>
      </w:r>
    </w:p>
    <w:p w14:paraId="1F87A7FB">
      <w:pPr>
        <w:pStyle w:val="32"/>
        <w:spacing w:after="0" w:line="240" w:lineRule="auto"/>
        <w:ind w:firstLine="0"/>
        <w:rPr>
          <w:rStyle w:val="14"/>
          <w:rFonts w:ascii="宋体" w:hAnsi="宋体" w:eastAsia="宋体" w:cs="宋体"/>
          <w:sz w:val="21"/>
          <w:szCs w:val="21"/>
          <w:lang w:val="zh-CN"/>
        </w:rPr>
      </w:pPr>
    </w:p>
    <w:p w14:paraId="3243FB49">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二、 审查要点</w:t>
      </w:r>
    </w:p>
    <w:p w14:paraId="750BF4B6">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1.基本规则</w:t>
      </w:r>
    </w:p>
    <w:p w14:paraId="66B7D81C">
      <w:pPr>
        <w:pStyle w:val="32"/>
        <w:numPr>
          <w:ilvl w:val="0"/>
          <w:numId w:val="16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研究者必须采取安全措施，保护</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的隐私和个人信息的机密。</w:t>
      </w:r>
    </w:p>
    <w:p w14:paraId="35EA9CE3">
      <w:pPr>
        <w:pStyle w:val="32"/>
        <w:numPr>
          <w:ilvl w:val="0"/>
          <w:numId w:val="160"/>
        </w:numPr>
        <w:spacing w:after="0" w:line="240" w:lineRule="auto"/>
        <w:rPr>
          <w:rStyle w:val="14"/>
          <w:rFonts w:ascii="宋体" w:hAnsi="宋体" w:eastAsia="宋体" w:cs="宋体"/>
          <w:sz w:val="21"/>
          <w:szCs w:val="21"/>
          <w:lang w:val="zh-CN"/>
        </w:rPr>
      </w:pP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应被告知，研究者保守机密的能力受到法律和其他规定的限制，以及机密泄露的可能后果。</w:t>
      </w:r>
    </w:p>
    <w:p w14:paraId="04918DD4">
      <w:pPr>
        <w:pStyle w:val="32"/>
        <w:spacing w:after="0" w:line="240" w:lineRule="auto"/>
        <w:rPr>
          <w:rStyle w:val="14"/>
          <w:rFonts w:ascii="宋体" w:hAnsi="宋体" w:eastAsia="宋体" w:cs="宋体"/>
          <w:sz w:val="21"/>
          <w:szCs w:val="21"/>
          <w:lang w:val="zh-CN"/>
        </w:rPr>
      </w:pPr>
    </w:p>
    <w:p w14:paraId="5EFABDE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2.研究者和</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之间的机密</w:t>
      </w:r>
    </w:p>
    <w:p w14:paraId="54552AF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2.1研究者的责任</w:t>
      </w:r>
    </w:p>
    <w:p w14:paraId="625E98A7">
      <w:pPr>
        <w:pStyle w:val="32"/>
        <w:numPr>
          <w:ilvl w:val="0"/>
          <w:numId w:val="16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研究者必须保护</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的隐私和个人信息的机密，必要时，安全性措施包括（但不限于）</w:t>
      </w:r>
    </w:p>
    <w:p w14:paraId="621324B8">
      <w:pPr>
        <w:pStyle w:val="32"/>
        <w:numPr>
          <w:ilvl w:val="0"/>
          <w:numId w:val="16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数据报告时隐藏可识别</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身份的信息。</w:t>
      </w:r>
    </w:p>
    <w:p w14:paraId="13748FD2">
      <w:pPr>
        <w:pStyle w:val="32"/>
        <w:numPr>
          <w:ilvl w:val="0"/>
          <w:numId w:val="16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限制接触和使用这些信息的权限。</w:t>
      </w:r>
    </w:p>
    <w:p w14:paraId="79BE311E">
      <w:pPr>
        <w:pStyle w:val="32"/>
        <w:numPr>
          <w:ilvl w:val="0"/>
          <w:numId w:val="16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数据匿名。</w:t>
      </w:r>
    </w:p>
    <w:p w14:paraId="106F573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2.2知情告知</w:t>
      </w:r>
    </w:p>
    <w:p w14:paraId="1A70C00E">
      <w:pPr>
        <w:pStyle w:val="32"/>
        <w:numPr>
          <w:ilvl w:val="0"/>
          <w:numId w:val="16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所采取的保守机密的防范措施。</w:t>
      </w:r>
    </w:p>
    <w:p w14:paraId="728496F9">
      <w:pPr>
        <w:pStyle w:val="32"/>
        <w:numPr>
          <w:ilvl w:val="0"/>
          <w:numId w:val="16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应该告知</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，由于法律和其他的原因，研究者严格保守机密的能力是有限制的，例如：</w:t>
      </w:r>
    </w:p>
    <w:p w14:paraId="63A0D002">
      <w:pPr>
        <w:pStyle w:val="32"/>
        <w:numPr>
          <w:ilvl w:val="0"/>
          <w:numId w:val="16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研究者有责任向有关机构报告某些传染病。</w:t>
      </w:r>
    </w:p>
    <w:p w14:paraId="2B58B8D1">
      <w:pPr>
        <w:pStyle w:val="32"/>
        <w:numPr>
          <w:ilvl w:val="0"/>
          <w:numId w:val="16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食品药品监督管理部门有权视</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临床试验记录。</w:t>
      </w:r>
    </w:p>
    <w:p w14:paraId="05B6E679">
      <w:pPr>
        <w:pStyle w:val="32"/>
        <w:numPr>
          <w:ilvl w:val="0"/>
          <w:numId w:val="16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申办者派出的临床试验监察员、稽查员可以要求访问研究数据。</w:t>
      </w:r>
    </w:p>
    <w:p w14:paraId="54B45A71">
      <w:pPr>
        <w:pStyle w:val="32"/>
        <w:numPr>
          <w:ilvl w:val="0"/>
          <w:numId w:val="16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伦理委员会可以要求访问研究数据，应该告知</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，泄露机密可能产生的不良后果。</w:t>
      </w:r>
    </w:p>
    <w:p w14:paraId="25FE7A8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2.3 HIV/A</w:t>
      </w:r>
      <w:r>
        <w:rPr>
          <w:rStyle w:val="14"/>
          <w:rFonts w:hint="eastAsia" w:asciiTheme="minorEastAsia" w:hAnsiTheme="minorEastAsia" w:eastAsiaTheme="minorEastAsia" w:cstheme="minorEastAsia"/>
          <w:sz w:val="21"/>
          <w:szCs w:val="21"/>
        </w:rPr>
        <w:t>I</w:t>
      </w:r>
      <w:r>
        <w:rPr>
          <w:rStyle w:val="14"/>
          <w:rFonts w:hint="eastAsia" w:ascii="宋体" w:hAnsi="宋体" w:eastAsia="宋体" w:cs="宋体"/>
          <w:sz w:val="21"/>
          <w:szCs w:val="21"/>
          <w:lang w:val="zh-CN"/>
        </w:rPr>
        <w:t>DS药品和疫苗的临床试验</w:t>
      </w:r>
    </w:p>
    <w:p w14:paraId="08194C71">
      <w:pPr>
        <w:pStyle w:val="32"/>
        <w:numPr>
          <w:ilvl w:val="0"/>
          <w:numId w:val="169"/>
        </w:numPr>
        <w:spacing w:after="0" w:line="240" w:lineRule="auto"/>
        <w:ind w:left="795" w:hanging="420"/>
        <w:rPr>
          <w:rStyle w:val="14"/>
          <w:rFonts w:ascii="宋体" w:hAnsi="宋体" w:eastAsia="宋体" w:cs="宋体"/>
          <w:sz w:val="21"/>
          <w:szCs w:val="21"/>
          <w:lang w:val="zh-CN"/>
        </w:rPr>
      </w:pPr>
      <w:r>
        <w:rPr>
          <w:rStyle w:val="14"/>
          <w:rFonts w:hint="eastAsia" w:ascii="宋体" w:hAnsi="宋体" w:eastAsia="宋体" w:cs="宋体"/>
          <w:sz w:val="21"/>
          <w:szCs w:val="21"/>
          <w:lang w:val="zh-CN"/>
        </w:rPr>
        <w:t>参加HIV/A</w:t>
      </w:r>
      <w:r>
        <w:rPr>
          <w:rStyle w:val="14"/>
          <w:rFonts w:hint="eastAsia" w:asciiTheme="minorEastAsia" w:hAnsiTheme="minorEastAsia" w:eastAsiaTheme="minorEastAsia" w:cstheme="minorEastAsia"/>
          <w:sz w:val="21"/>
          <w:szCs w:val="21"/>
        </w:rPr>
        <w:t>I</w:t>
      </w:r>
      <w:r>
        <w:rPr>
          <w:rStyle w:val="14"/>
          <w:rFonts w:hint="eastAsia" w:ascii="宋体" w:hAnsi="宋体" w:eastAsia="宋体" w:cs="宋体"/>
          <w:sz w:val="21"/>
          <w:szCs w:val="21"/>
          <w:lang w:val="zh-CN"/>
        </w:rPr>
        <w:t>DS药品和疫苗试验可使</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受到严重的社会歧视或伤害的风险；这类风险与药品、疫苗的不良医学后果一样值得考虑。必须努力减少风险的可能并减轻其严重后果。</w:t>
      </w:r>
    </w:p>
    <w:p w14:paraId="4D96310A">
      <w:pPr>
        <w:pStyle w:val="32"/>
        <w:numPr>
          <w:ilvl w:val="0"/>
          <w:numId w:val="16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向参加HIV/A</w:t>
      </w:r>
      <w:r>
        <w:rPr>
          <w:rStyle w:val="14"/>
          <w:rFonts w:hint="eastAsia" w:asciiTheme="minorEastAsia" w:hAnsiTheme="minorEastAsia" w:eastAsiaTheme="minorEastAsia" w:cstheme="minorEastAsia"/>
          <w:sz w:val="21"/>
          <w:szCs w:val="21"/>
        </w:rPr>
        <w:t>I</w:t>
      </w:r>
      <w:r>
        <w:rPr>
          <w:rStyle w:val="14"/>
          <w:rFonts w:hint="eastAsia" w:ascii="宋体" w:hAnsi="宋体" w:eastAsia="宋体" w:cs="宋体"/>
          <w:sz w:val="21"/>
          <w:szCs w:val="21"/>
          <w:lang w:val="zh-CN"/>
        </w:rPr>
        <w:t>DS疫苗试验的健康</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提供文件证明他们参加了疫苗试验，他们的艾滋病病毒或血清抗体阳性是由于接种疫苗而不是自然感染所致。</w:t>
      </w:r>
    </w:p>
    <w:p w14:paraId="15E429FF">
      <w:pPr>
        <w:pStyle w:val="32"/>
        <w:spacing w:after="0" w:line="240" w:lineRule="auto"/>
        <w:rPr>
          <w:rStyle w:val="14"/>
          <w:rFonts w:ascii="宋体" w:hAnsi="宋体" w:eastAsia="宋体" w:cs="宋体"/>
          <w:sz w:val="21"/>
          <w:szCs w:val="21"/>
          <w:lang w:val="zh-CN"/>
        </w:rPr>
      </w:pPr>
    </w:p>
    <w:p w14:paraId="6D2BDB8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3.医生和病人之间的机密</w:t>
      </w:r>
    </w:p>
    <w:p w14:paraId="469287BD">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3.1医生的责任</w:t>
      </w:r>
    </w:p>
    <w:p w14:paraId="7E6E3D7D">
      <w:pPr>
        <w:pStyle w:val="32"/>
        <w:numPr>
          <w:ilvl w:val="0"/>
          <w:numId w:val="16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负责病人诊治的临床主管医生有责任严格保守病人信息的秘密，仅仅公开给:</w:t>
      </w:r>
    </w:p>
    <w:p w14:paraId="6639F0D3">
      <w:pPr>
        <w:pStyle w:val="32"/>
        <w:numPr>
          <w:ilvl w:val="0"/>
          <w:numId w:val="17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有合法权利得到这些信息的人，如与执行诊疗任务有关的其他主治医师、护士、或其他卫生保健工作人员等。</w:t>
      </w:r>
    </w:p>
    <w:p w14:paraId="57D8B7C7">
      <w:pPr>
        <w:pStyle w:val="32"/>
        <w:numPr>
          <w:ilvl w:val="0"/>
          <w:numId w:val="16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临床主管医生不应将任何可识别病人身份的信息公开给研究者，除非同时满足以</w:t>
      </w:r>
    </w:p>
    <w:p w14:paraId="300F2110">
      <w:pPr>
        <w:pStyle w:val="32"/>
        <w:spacing w:after="0" w:line="240" w:lineRule="auto"/>
        <w:ind w:left="720" w:firstLine="75"/>
        <w:rPr>
          <w:rStyle w:val="14"/>
          <w:rFonts w:ascii="宋体" w:hAnsi="宋体" w:eastAsia="宋体" w:cs="宋体"/>
          <w:sz w:val="21"/>
          <w:szCs w:val="21"/>
          <w:lang w:val="zh-CN"/>
        </w:rPr>
      </w:pPr>
      <w:r>
        <w:rPr>
          <w:rStyle w:val="14"/>
          <w:rFonts w:hint="eastAsia" w:ascii="宋体" w:hAnsi="宋体" w:eastAsia="宋体" w:cs="宋体"/>
          <w:sz w:val="21"/>
          <w:szCs w:val="21"/>
          <w:lang w:val="zh-CN"/>
        </w:rPr>
        <w:t>下两个条件：</w:t>
      </w:r>
    </w:p>
    <w:p w14:paraId="4F743F80">
      <w:pPr>
        <w:pStyle w:val="32"/>
        <w:numPr>
          <w:ilvl w:val="0"/>
          <w:numId w:val="17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获得病人的同意。</w:t>
      </w:r>
    </w:p>
    <w:p w14:paraId="39B4DF6D">
      <w:pPr>
        <w:pStyle w:val="32"/>
        <w:numPr>
          <w:ilvl w:val="0"/>
          <w:numId w:val="17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伦理委员会批准这类公开行为。</w:t>
      </w:r>
    </w:p>
    <w:p w14:paraId="6AEC2ED6">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3.2利用医疗病历记录的研究</w:t>
      </w:r>
    </w:p>
    <w:p w14:paraId="01CDCA9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医生和其他卫生保健专业人员在病历或其他档案中记录了他们的观察和干预措施的详细信息。流行病学研究可能经常利用这些记录。</w:t>
      </w:r>
    </w:p>
    <w:p w14:paraId="4EE0FC35">
      <w:pPr>
        <w:pStyle w:val="32"/>
        <w:numPr>
          <w:ilvl w:val="0"/>
          <w:numId w:val="16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这类研究通常难以获得每位可识别身份病人的知情同意；当研究符合本指南第五章有关免除知情同意的规则，并有保守机密的安全措施，伦理委员会可以免除知情同意的要求。</w:t>
      </w:r>
    </w:p>
    <w:p w14:paraId="28386DCD">
      <w:pPr>
        <w:pStyle w:val="32"/>
        <w:numPr>
          <w:ilvl w:val="0"/>
          <w:numId w:val="16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对于临床医疗病历的研究，应在最初的知情同意时预见到将来的研究计划，并请求同意。例如，医疗机构可以通知所有新来病人，他们的病历档案可能会因研究目的被利用，给予患者同意或拒绝这种利用的机会。</w:t>
      </w:r>
    </w:p>
    <w:p w14:paraId="17D91536">
      <w:pPr>
        <w:pStyle w:val="32"/>
        <w:spacing w:after="0" w:line="240" w:lineRule="auto"/>
        <w:rPr>
          <w:rStyle w:val="14"/>
          <w:rFonts w:ascii="宋体" w:hAnsi="宋体" w:eastAsia="宋体" w:cs="宋体"/>
          <w:sz w:val="21"/>
          <w:szCs w:val="21"/>
          <w:lang w:val="zh-CN"/>
        </w:rPr>
      </w:pPr>
    </w:p>
    <w:p w14:paraId="7E0F73E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三、遗传学研究的保密问题</w:t>
      </w:r>
    </w:p>
    <w:p w14:paraId="31DD98F1">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1.利用可识别</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身份的生物标本，进行已知临床或预后价值的遗传学研究</w:t>
      </w:r>
    </w:p>
    <w:p w14:paraId="1D412880">
      <w:pPr>
        <w:pStyle w:val="32"/>
        <w:numPr>
          <w:ilvl w:val="0"/>
          <w:numId w:val="17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必须获得</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的知情同意，或</w:t>
      </w:r>
      <w:r>
        <w:rPr>
          <w:rStyle w:val="14"/>
          <w:rFonts w:hint="eastAsia" w:hAnsi="宋体" w:eastAsia="宋体" w:cs="宋体"/>
          <w:sz w:val="21"/>
          <w:szCs w:val="21"/>
          <w:lang w:eastAsia="zh-CN"/>
        </w:rPr>
        <w:t>法定代理人</w:t>
      </w:r>
      <w:r>
        <w:rPr>
          <w:rStyle w:val="14"/>
          <w:rFonts w:hint="eastAsia" w:ascii="宋体" w:hAnsi="宋体" w:eastAsia="宋体" w:cs="宋体"/>
          <w:sz w:val="21"/>
          <w:szCs w:val="21"/>
          <w:lang w:val="zh-CN"/>
        </w:rPr>
        <w:t>的同意。</w:t>
      </w:r>
    </w:p>
    <w:p w14:paraId="67BB6CE5">
      <w:pPr>
        <w:pStyle w:val="32"/>
        <w:numPr>
          <w:ilvl w:val="0"/>
          <w:numId w:val="17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如果符合免除知情同意的条件并得到伦理委员会批准，必须使生物标本完全的匿名并脱离有关联系，以保证从该研究不会得到有关具体个人的信息、或反馈给他们。</w:t>
      </w:r>
    </w:p>
    <w:p w14:paraId="1C4D8873">
      <w:pPr>
        <w:pStyle w:val="32"/>
        <w:spacing w:after="0" w:line="240" w:lineRule="auto"/>
        <w:rPr>
          <w:rStyle w:val="14"/>
          <w:rFonts w:ascii="宋体" w:hAnsi="宋体" w:eastAsia="宋体" w:cs="宋体"/>
          <w:sz w:val="21"/>
          <w:szCs w:val="21"/>
          <w:lang w:val="zh-CN"/>
        </w:rPr>
      </w:pPr>
    </w:p>
    <w:p w14:paraId="657875E6">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2.生物标本不是完全匿名，并且预料到可能有正当的临床或研究的理由，需要将遗传学研究的结果和</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相联系</w:t>
      </w:r>
    </w:p>
    <w:p w14:paraId="66BA3930">
      <w:pPr>
        <w:pStyle w:val="32"/>
        <w:numPr>
          <w:ilvl w:val="0"/>
          <w:numId w:val="172"/>
        </w:numPr>
        <w:spacing w:after="0" w:line="240" w:lineRule="auto"/>
        <w:ind w:hanging="420" w:firstLineChars="0"/>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研究者应向</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保证，</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的身份将通过生物标本的安全编码、限制访问数据库而得到保护。向</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解释这些过程。</w:t>
      </w:r>
    </w:p>
    <w:p w14:paraId="1A46C7B0">
      <w:pPr>
        <w:pStyle w:val="32"/>
        <w:numPr>
          <w:ilvl w:val="0"/>
          <w:numId w:val="172"/>
        </w:numPr>
        <w:spacing w:after="0" w:line="240" w:lineRule="auto"/>
        <w:ind w:left="795" w:hanging="420"/>
        <w:rPr>
          <w:rStyle w:val="14"/>
          <w:rFonts w:ascii="宋体" w:hAnsi="宋体" w:eastAsia="宋体" w:cs="宋体"/>
          <w:sz w:val="21"/>
          <w:szCs w:val="21"/>
          <w:lang w:val="zh-CN"/>
        </w:rPr>
      </w:pPr>
      <w:r>
        <w:rPr>
          <w:rStyle w:val="14"/>
          <w:rFonts w:hint="eastAsia" w:ascii="宋体" w:hAnsi="宋体" w:eastAsia="宋体" w:cs="宋体"/>
          <w:sz w:val="21"/>
          <w:szCs w:val="21"/>
          <w:lang w:val="zh-CN"/>
        </w:rPr>
        <w:t>出于医学的、或者研究的理由，要将遗传试验的结果报告给</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或</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的医生时，</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应该被告知将要发生这种公开以及试验标本将被清楚的标记。</w:t>
      </w:r>
    </w:p>
    <w:p w14:paraId="28675CEB">
      <w:pPr>
        <w:pStyle w:val="32"/>
        <w:numPr>
          <w:ilvl w:val="0"/>
          <w:numId w:val="1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未经</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同意，研究者不得将诊断性遗传学研究结果公开给</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的亲属。</w:t>
      </w:r>
    </w:p>
    <w:p w14:paraId="20645CC5">
      <w:pPr>
        <w:pStyle w:val="32"/>
        <w:numPr>
          <w:ilvl w:val="0"/>
          <w:numId w:val="17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研究方案应说明：没有</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同意情况下防止将结果公开的措施。</w:t>
      </w:r>
    </w:p>
    <w:p w14:paraId="4547AA4A">
      <w:pPr>
        <w:pStyle w:val="32"/>
        <w:numPr>
          <w:ilvl w:val="0"/>
          <w:numId w:val="17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上述措施应在知情同意过程中清楚地加以解释。</w:t>
      </w:r>
    </w:p>
    <w:p w14:paraId="695C9F9D">
      <w:pPr>
        <w:pStyle w:val="32"/>
        <w:spacing w:after="0" w:line="240" w:lineRule="auto"/>
        <w:rPr>
          <w:rStyle w:val="14"/>
          <w:rFonts w:ascii="宋体" w:hAnsi="宋体" w:eastAsia="宋体" w:cs="宋体"/>
          <w:sz w:val="21"/>
          <w:szCs w:val="21"/>
          <w:lang w:val="zh-CN"/>
        </w:rPr>
      </w:pPr>
    </w:p>
    <w:p w14:paraId="216435DC">
      <w:pPr>
        <w:pStyle w:val="32"/>
        <w:spacing w:after="0" w:line="240" w:lineRule="auto"/>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第八章</w:t>
      </w:r>
      <w:r>
        <w:rPr>
          <w:rStyle w:val="14"/>
          <w:rFonts w:hint="eastAsia" w:ascii="宋体" w:hAnsi="宋体" w:eastAsia="宋体" w:cs="宋体"/>
          <w:sz w:val="28"/>
          <w:szCs w:val="28"/>
        </w:rPr>
        <w:t xml:space="preserve"> </w:t>
      </w:r>
      <w:r>
        <w:rPr>
          <w:rStyle w:val="14"/>
          <w:rFonts w:hint="eastAsia" w:ascii="宋体" w:hAnsi="宋体" w:eastAsia="宋体" w:cs="宋体"/>
          <w:sz w:val="28"/>
          <w:szCs w:val="28"/>
          <w:lang w:val="zh-CN"/>
        </w:rPr>
        <w:t>涉及弱势群体的研究</w:t>
      </w:r>
    </w:p>
    <w:p w14:paraId="1C72FB03">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一、原则</w:t>
      </w:r>
    </w:p>
    <w:p w14:paraId="02145D83">
      <w:pPr>
        <w:pStyle w:val="32"/>
        <w:numPr>
          <w:ilvl w:val="0"/>
          <w:numId w:val="1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医学研究必须遵守的伦理标准是，促进对人类</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的尊重并保护他们的健康和权利。有些研究人群尤其脆弱，需要特别的保护。弱势人群包括那些自己不能做出同意或不同意的人群，以及那些容易受到胁迫或受到不正当影响的人群。</w:t>
      </w:r>
    </w:p>
    <w:p w14:paraId="62541FA3">
      <w:pPr>
        <w:pStyle w:val="32"/>
        <w:numPr>
          <w:ilvl w:val="0"/>
          <w:numId w:val="17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涉及处于不利地位或弱势的人群或社区的医学研究，仅当该项研究是针对该人群或社区的健康需要和优先事项，且该人群或社区有合理的可能从研究结果中获益时，方能认为这项研究是正当的。</w:t>
      </w:r>
    </w:p>
    <w:p w14:paraId="504EA122">
      <w:pPr>
        <w:pStyle w:val="32"/>
        <w:numPr>
          <w:ilvl w:val="0"/>
          <w:numId w:val="17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对于一个无行为能力的潜在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，……不可将这些人包含在对他们不可能受益的研究内，除非这项研究意在促进这些潜在</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所代表的人群的健康；该研究不能在有行为能力的人身上进行；以及该研究只包含最低程度的风险和最低程度的负担。</w:t>
      </w:r>
    </w:p>
    <w:p w14:paraId="73887BED">
      <w:pPr>
        <w:pStyle w:val="32"/>
        <w:spacing w:after="0" w:line="240" w:lineRule="auto"/>
        <w:rPr>
          <w:rStyle w:val="14"/>
          <w:rFonts w:ascii="宋体" w:hAnsi="宋体" w:eastAsia="宋体" w:cs="宋体"/>
          <w:sz w:val="21"/>
          <w:szCs w:val="21"/>
          <w:lang w:val="zh-CN"/>
        </w:rPr>
      </w:pPr>
    </w:p>
    <w:p w14:paraId="5607267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二、审查要点</w:t>
      </w:r>
    </w:p>
    <w:p w14:paraId="6B5C58C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1.定义</w:t>
      </w:r>
    </w:p>
    <w:p w14:paraId="50C5F20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弱势人群是指那些相对地（或绝对地）没有能力维护自身利益的人。更正式地说他们没有足够的权力、智力、教育、财力、力量、或其他必需的属性来保护他们的自身利益。通常被认为弱势的群体，是指那些能力或自由受到限制而无法给予同意或拒绝同意的人。</w:t>
      </w:r>
    </w:p>
    <w:p w14:paraId="54E2D194">
      <w:pPr>
        <w:pStyle w:val="32"/>
        <w:numPr>
          <w:ilvl w:val="0"/>
          <w:numId w:val="17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无能力自主决定同意或拒绝的人群，如：</w:t>
      </w:r>
    </w:p>
    <w:p w14:paraId="1C8F0F35">
      <w:pPr>
        <w:pStyle w:val="32"/>
        <w:numPr>
          <w:ilvl w:val="0"/>
          <w:numId w:val="175"/>
        </w:numPr>
        <w:spacing w:after="0" w:line="240" w:lineRule="auto"/>
        <w:rPr>
          <w:rStyle w:val="14"/>
          <w:rFonts w:ascii="宋体" w:hAnsi="宋体" w:eastAsia="宋体" w:cs="宋体"/>
          <w:sz w:val="21"/>
          <w:szCs w:val="21"/>
          <w:lang w:val="zh-CN"/>
        </w:rPr>
      </w:pPr>
      <w:r>
        <w:rPr>
          <w:rStyle w:val="14"/>
          <w:rFonts w:hint="eastAsia" w:hAnsi="宋体" w:eastAsia="宋体" w:cs="宋体"/>
          <w:sz w:val="21"/>
          <w:szCs w:val="21"/>
          <w:lang w:val="zh-CN"/>
        </w:rPr>
        <w:t>未成年人</w:t>
      </w:r>
      <w:r>
        <w:rPr>
          <w:rStyle w:val="14"/>
          <w:rFonts w:hint="eastAsia" w:ascii="宋体" w:hAnsi="宋体" w:eastAsia="宋体" w:cs="宋体"/>
          <w:sz w:val="21"/>
          <w:szCs w:val="21"/>
          <w:lang w:val="zh-CN"/>
        </w:rPr>
        <w:t>。</w:t>
      </w:r>
    </w:p>
    <w:p w14:paraId="37472212">
      <w:pPr>
        <w:pStyle w:val="32"/>
        <w:numPr>
          <w:ilvl w:val="0"/>
          <w:numId w:val="17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因为精神障碍而不能给予知情同意的人。</w:t>
      </w:r>
    </w:p>
    <w:p w14:paraId="3EF2E0C2">
      <w:pPr>
        <w:pStyle w:val="32"/>
        <w:numPr>
          <w:ilvl w:val="0"/>
          <w:numId w:val="17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可能受到强迫或不正当影响的人群，如：</w:t>
      </w:r>
    </w:p>
    <w:p w14:paraId="06A5529D">
      <w:pPr>
        <w:pStyle w:val="32"/>
        <w:numPr>
          <w:ilvl w:val="0"/>
          <w:numId w:val="17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等级群体中处于下级或从属地位的成员，如：医学生和护理专业学生，实验室的工作人员，制药公司的雇员，部队的士兵等。该人群同意的性质需要谨慎考虑，因为他们同意自愿参加可能受到不适当</w:t>
      </w:r>
      <w:r>
        <w:rPr>
          <w:rStyle w:val="14"/>
          <w:rFonts w:hint="eastAsia" w:hAnsi="宋体" w:eastAsia="宋体" w:cs="宋体"/>
          <w:sz w:val="21"/>
          <w:szCs w:val="21"/>
          <w:lang w:val="zh-CN"/>
        </w:rPr>
        <w:t>的</w:t>
      </w:r>
      <w:r>
        <w:rPr>
          <w:rStyle w:val="14"/>
          <w:rFonts w:hint="eastAsia" w:ascii="宋体" w:hAnsi="宋体" w:eastAsia="宋体" w:cs="宋体"/>
          <w:sz w:val="21"/>
          <w:szCs w:val="21"/>
          <w:lang w:val="zh-CN"/>
        </w:rPr>
        <w:t>影响（不论合理与否）。</w:t>
      </w:r>
    </w:p>
    <w:p w14:paraId="0F5F063D">
      <w:pPr>
        <w:pStyle w:val="32"/>
        <w:numPr>
          <w:ilvl w:val="0"/>
          <w:numId w:val="17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老人通常被认为是弱势的，他们可能处在公共福利机构照料之下，或有不同程度的痴呆。</w:t>
      </w:r>
    </w:p>
    <w:p w14:paraId="4B7F0449">
      <w:pPr>
        <w:pStyle w:val="32"/>
        <w:numPr>
          <w:ilvl w:val="0"/>
          <w:numId w:val="17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接受生活福利费或社会援助的人，贫民和失业者，急诊室的病人，少数民族无家可归者，流浪汉，难民或被迫流离者，服刑人员，患不治之症的病人，以及不熟悉现代医疗概念的社会成员。</w:t>
      </w:r>
    </w:p>
    <w:p w14:paraId="62D45236">
      <w:pPr>
        <w:pStyle w:val="32"/>
        <w:numPr>
          <w:ilvl w:val="0"/>
          <w:numId w:val="17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患有严重的、可能致残或致命疾病者。</w:t>
      </w:r>
    </w:p>
    <w:p w14:paraId="0662DED4">
      <w:pPr>
        <w:pStyle w:val="32"/>
        <w:spacing w:after="0" w:line="240" w:lineRule="auto"/>
        <w:rPr>
          <w:rStyle w:val="14"/>
          <w:rFonts w:ascii="宋体" w:hAnsi="宋体" w:eastAsia="宋体" w:cs="宋体"/>
          <w:sz w:val="21"/>
          <w:szCs w:val="21"/>
          <w:lang w:val="zh-CN"/>
        </w:rPr>
      </w:pPr>
    </w:p>
    <w:p w14:paraId="1A0B0C23">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2.选择弱势群体参加研究的理由与特殊保护措施</w:t>
      </w:r>
    </w:p>
    <w:p w14:paraId="34DD592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涉及弱势群体临床研究的中心问题是，该研究可能导致参加研究的负担和利益分配不</w:t>
      </w:r>
    </w:p>
    <w:p w14:paraId="2AB12C98">
      <w:pPr>
        <w:pStyle w:val="32"/>
        <w:spacing w:after="0" w:line="240" w:lineRule="auto"/>
        <w:ind w:firstLine="0"/>
        <w:rPr>
          <w:rStyle w:val="14"/>
          <w:rFonts w:ascii="宋体" w:hAnsi="宋体" w:eastAsia="宋体" w:cs="宋体"/>
          <w:sz w:val="21"/>
          <w:szCs w:val="21"/>
          <w:lang w:val="zh-CN"/>
        </w:rPr>
      </w:pPr>
      <w:r>
        <w:rPr>
          <w:rStyle w:val="14"/>
          <w:rFonts w:hint="eastAsia" w:ascii="宋体" w:hAnsi="宋体" w:eastAsia="宋体" w:cs="宋体"/>
          <w:sz w:val="21"/>
          <w:szCs w:val="21"/>
          <w:lang w:val="zh-CN"/>
        </w:rPr>
        <w:t>公平。</w:t>
      </w:r>
    </w:p>
    <w:p w14:paraId="6A08826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邀请弱势群体参加临床研究需要特殊的理由，如果选择他们，必须切实履行保护他们权利和健康的措施。</w:t>
      </w:r>
    </w:p>
    <w:p w14:paraId="637EC829">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临床研究纳入弱势群体</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，伦理委员会需要确信：</w:t>
      </w:r>
    </w:p>
    <w:p w14:paraId="11D1AF94">
      <w:pPr>
        <w:pStyle w:val="32"/>
        <w:numPr>
          <w:ilvl w:val="0"/>
          <w:numId w:val="17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若以非弱势人群为</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对象，无法达到预期的研究目的。</w:t>
      </w:r>
    </w:p>
    <w:p w14:paraId="34497CB6">
      <w:pPr>
        <w:pStyle w:val="32"/>
        <w:numPr>
          <w:ilvl w:val="0"/>
          <w:numId w:val="17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研究是为获得该弱势群体(或者是</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本人，或弱势人群中其他相同处境的成员）特有的或独特的疾病、或其他健康问题的改良的诊断、预防或治疗的知识。</w:t>
      </w:r>
    </w:p>
    <w:p w14:paraId="02421196">
      <w:pPr>
        <w:pStyle w:val="32"/>
        <w:numPr>
          <w:ilvl w:val="0"/>
          <w:numId w:val="17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作为研究成果的诊断、预防或治疗产品成为可利用时，通常要保证能合理地用于</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以及从中招募</w:t>
      </w:r>
      <w:r>
        <w:rPr>
          <w:rStyle w:val="30"/>
          <w:rFonts w:hint="eastAsia" w:ascii="宋体" w:hAnsi="宋体" w:eastAsia="宋体" w:cs="宋体"/>
          <w:sz w:val="21"/>
          <w:szCs w:val="21"/>
          <w:lang w:val="zh-CN"/>
        </w:rPr>
        <w:t>试验参与者</w:t>
      </w:r>
      <w:r>
        <w:rPr>
          <w:rStyle w:val="14"/>
          <w:rFonts w:hint="eastAsia" w:ascii="宋体" w:hAnsi="宋体" w:eastAsia="宋体" w:cs="宋体"/>
          <w:sz w:val="21"/>
          <w:szCs w:val="21"/>
          <w:lang w:val="zh-CN"/>
        </w:rPr>
        <w:t>的弱势群体中的其他成员。</w:t>
      </w:r>
    </w:p>
    <w:p w14:paraId="3BA95533">
      <w:pPr>
        <w:pStyle w:val="32"/>
        <w:numPr>
          <w:ilvl w:val="0"/>
          <w:numId w:val="17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不能提供与健康相关的直接受益前景的研究干预措施或治疗程序，所伴随的风险不应超过对这类人常规体格检</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或心理学检</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的风险，除非伦理委员会批准可以比这个水平的风险略有增加。</w:t>
      </w:r>
    </w:p>
    <w:p w14:paraId="41D04F04">
      <w:pPr>
        <w:pStyle w:val="32"/>
        <w:numPr>
          <w:ilvl w:val="0"/>
          <w:numId w:val="174"/>
        </w:numPr>
        <w:spacing w:after="0" w:line="240" w:lineRule="auto"/>
        <w:ind w:left="795" w:leftChars="0" w:hanging="420" w:firstLineChars="0"/>
        <w:rPr>
          <w:rStyle w:val="14"/>
          <w:rFonts w:ascii="宋体" w:hAnsi="宋体" w:eastAsia="宋体" w:cs="宋体"/>
          <w:sz w:val="21"/>
          <w:szCs w:val="21"/>
          <w:lang w:val="zh-CN"/>
        </w:rPr>
      </w:pPr>
      <w:r>
        <w:rPr>
          <w:rStyle w:val="14"/>
          <w:rFonts w:hint="eastAsia" w:ascii="宋体" w:hAnsi="宋体" w:eastAsia="宋体" w:cs="宋体"/>
          <w:sz w:val="21"/>
          <w:szCs w:val="21"/>
          <w:lang w:val="zh-CN"/>
        </w:rPr>
        <w:t>当可能的</w:t>
      </w:r>
      <w:r>
        <w:rPr>
          <w:rStyle w:val="30"/>
          <w:rFonts w:hint="eastAsia" w:ascii="宋体" w:hAnsi="宋体" w:eastAsia="宋体" w:cs="宋体"/>
          <w:sz w:val="21"/>
          <w:szCs w:val="21"/>
          <w:lang w:val="zh-CN"/>
        </w:rPr>
        <w:t>试验参与</w:t>
      </w:r>
      <w:r>
        <w:rPr>
          <w:rStyle w:val="14"/>
          <w:rFonts w:hint="eastAsia" w:ascii="宋体" w:hAnsi="宋体" w:eastAsia="宋体" w:cs="宋体"/>
          <w:sz w:val="21"/>
          <w:szCs w:val="21"/>
          <w:lang w:val="zh-CN"/>
        </w:rPr>
        <w:t>对象无能力、或因其他原因不能充分地给予知情同意时，他们的同意要由他们的法定代理人或其他合法代表的许可作补充。一般来说，临床研究必须先研究弱势程度较小的人群，再涉及弱势程度较大的人群。</w:t>
      </w:r>
    </w:p>
    <w:p w14:paraId="6F741B20">
      <w:pPr>
        <w:pStyle w:val="32"/>
        <w:spacing w:after="0" w:line="240" w:lineRule="auto"/>
        <w:rPr>
          <w:rStyle w:val="14"/>
          <w:rFonts w:ascii="宋体" w:hAnsi="宋体" w:eastAsia="宋体" w:cs="宋体"/>
          <w:sz w:val="21"/>
          <w:szCs w:val="21"/>
          <w:lang w:val="zh-CN"/>
        </w:rPr>
      </w:pPr>
    </w:p>
    <w:p w14:paraId="5441903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三、涉及未成年人的研究</w:t>
      </w:r>
    </w:p>
    <w:p w14:paraId="72455B2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1.背景.</w:t>
      </w:r>
    </w:p>
    <w:p w14:paraId="69C5C4B9">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我国《民法</w:t>
      </w:r>
      <w:r>
        <w:rPr>
          <w:rStyle w:val="14"/>
          <w:rFonts w:hint="eastAsia" w:hAnsi="宋体" w:eastAsia="宋体" w:cs="宋体"/>
          <w:sz w:val="21"/>
          <w:szCs w:val="21"/>
        </w:rPr>
        <w:t>典</w:t>
      </w:r>
      <w:r>
        <w:rPr>
          <w:rStyle w:val="14"/>
          <w:rFonts w:hint="eastAsia" w:ascii="宋体" w:hAnsi="宋体" w:eastAsia="宋体" w:cs="宋体"/>
          <w:sz w:val="21"/>
          <w:szCs w:val="21"/>
          <w:lang w:val="zh-CN"/>
        </w:rPr>
        <w:t>》的规定：</w:t>
      </w:r>
    </w:p>
    <w:p w14:paraId="6318CED6">
      <w:pPr>
        <w:pStyle w:val="32"/>
        <w:numPr>
          <w:ilvl w:val="0"/>
          <w:numId w:val="17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18周岁以上的公民是成年人，具有完全民事行为能力，可以独立进行民事活动，</w:t>
      </w:r>
    </w:p>
    <w:p w14:paraId="49C3DB95">
      <w:pPr>
        <w:spacing w:after="0"/>
        <w:rPr>
          <w:rFonts w:ascii="宋体" w:hAnsi="宋体" w:eastAsia="宋体" w:cs="宋体"/>
        </w:rPr>
      </w:pPr>
      <w:r>
        <w:rPr>
          <w:rStyle w:val="14"/>
          <w:rFonts w:hint="eastAsia" w:ascii="宋体" w:hAnsi="宋体" w:eastAsia="宋体" w:cs="宋体"/>
          <w:sz w:val="21"/>
          <w:szCs w:val="21"/>
          <w:lang w:val="zh-CN"/>
        </w:rPr>
        <w:t>是完全民事行为能力人。</w:t>
      </w:r>
    </w:p>
    <w:p w14:paraId="79CBB5EC">
      <w:pPr>
        <w:pStyle w:val="32"/>
        <w:numPr>
          <w:ilvl w:val="0"/>
          <w:numId w:val="17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16周岁以上不满18周岁的公民，以自己的劳动收入为主要生活来源的，视为完全</w:t>
      </w:r>
    </w:p>
    <w:p w14:paraId="170F13ED">
      <w:pPr>
        <w:pStyle w:val="32"/>
        <w:spacing w:after="0" w:line="240" w:lineRule="auto"/>
        <w:ind w:firstLine="802" w:firstLineChars="382"/>
        <w:rPr>
          <w:rStyle w:val="14"/>
          <w:rFonts w:ascii="宋体" w:hAnsi="宋体" w:eastAsia="宋体" w:cs="宋体"/>
          <w:sz w:val="21"/>
          <w:szCs w:val="21"/>
          <w:lang w:val="zh-CN"/>
        </w:rPr>
      </w:pPr>
      <w:r>
        <w:rPr>
          <w:rStyle w:val="14"/>
          <w:rFonts w:hint="eastAsia" w:ascii="宋体" w:hAnsi="宋体" w:eastAsia="宋体" w:cs="宋体"/>
          <w:sz w:val="21"/>
          <w:szCs w:val="21"/>
          <w:lang w:val="zh-CN"/>
        </w:rPr>
        <w:t>民事行为能力人。</w:t>
      </w:r>
    </w:p>
    <w:p w14:paraId="387C21DF">
      <w:pPr>
        <w:pStyle w:val="32"/>
        <w:numPr>
          <w:ilvl w:val="0"/>
          <w:numId w:val="177"/>
        </w:numPr>
        <w:spacing w:after="0" w:line="240" w:lineRule="auto"/>
        <w:rPr>
          <w:rStyle w:val="14"/>
          <w:rFonts w:ascii="宋体" w:hAnsi="宋体" w:eastAsia="宋体" w:cs="宋体"/>
          <w:sz w:val="21"/>
          <w:szCs w:val="21"/>
          <w:lang w:val="zh-CN"/>
        </w:rPr>
      </w:pPr>
      <w:r>
        <w:rPr>
          <w:rStyle w:val="14"/>
          <w:rFonts w:hint="eastAsia" w:hAnsi="宋体" w:eastAsia="宋体" w:cs="宋体"/>
          <w:sz w:val="21"/>
          <w:szCs w:val="21"/>
        </w:rPr>
        <w:t>8</w:t>
      </w:r>
      <w:r>
        <w:rPr>
          <w:rStyle w:val="14"/>
          <w:rFonts w:hint="eastAsia" w:ascii="宋体" w:hAnsi="宋体" w:eastAsia="宋体" w:cs="宋体"/>
          <w:sz w:val="21"/>
          <w:szCs w:val="21"/>
          <w:lang w:val="zh-CN"/>
        </w:rPr>
        <w:t>周岁以上的未成年人是限制民事行为能力人，可以进行与他的年龄、智力相适应的民事活动；其他民事活动由他的</w:t>
      </w:r>
      <w:r>
        <w:rPr>
          <w:rStyle w:val="14"/>
          <w:rFonts w:hint="eastAsia" w:hAnsi="宋体" w:eastAsia="宋体" w:cs="宋体"/>
          <w:sz w:val="21"/>
          <w:szCs w:val="21"/>
          <w:lang w:eastAsia="zh-CN"/>
        </w:rPr>
        <w:t>法定代理人</w:t>
      </w:r>
      <w:r>
        <w:rPr>
          <w:rStyle w:val="14"/>
          <w:rFonts w:hint="eastAsia" w:ascii="宋体" w:hAnsi="宋体" w:eastAsia="宋体" w:cs="宋体"/>
          <w:sz w:val="21"/>
          <w:szCs w:val="21"/>
          <w:lang w:val="zh-CN"/>
        </w:rPr>
        <w:t>代理，或者征得他的</w:t>
      </w:r>
      <w:r>
        <w:rPr>
          <w:rStyle w:val="14"/>
          <w:rFonts w:hint="eastAsia" w:hAnsi="宋体" w:eastAsia="宋体" w:cs="宋体"/>
          <w:sz w:val="21"/>
          <w:szCs w:val="21"/>
          <w:lang w:eastAsia="zh-CN"/>
        </w:rPr>
        <w:t>法定代理人</w:t>
      </w:r>
      <w:r>
        <w:rPr>
          <w:rStyle w:val="14"/>
          <w:rFonts w:hint="eastAsia" w:ascii="宋体" w:hAnsi="宋体" w:eastAsia="宋体" w:cs="宋体"/>
          <w:sz w:val="21"/>
          <w:szCs w:val="21"/>
          <w:lang w:val="zh-CN"/>
        </w:rPr>
        <w:t>同意。</w:t>
      </w:r>
    </w:p>
    <w:p w14:paraId="0D2C3963">
      <w:pPr>
        <w:pStyle w:val="32"/>
        <w:numPr>
          <w:ilvl w:val="0"/>
          <w:numId w:val="17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不满</w:t>
      </w:r>
      <w:r>
        <w:rPr>
          <w:rStyle w:val="14"/>
          <w:rFonts w:hint="eastAsia" w:hAnsi="宋体" w:eastAsia="宋体" w:cs="宋体"/>
          <w:sz w:val="21"/>
          <w:szCs w:val="21"/>
        </w:rPr>
        <w:t>8</w:t>
      </w:r>
      <w:r>
        <w:rPr>
          <w:rStyle w:val="14"/>
          <w:rFonts w:hint="eastAsia" w:ascii="宋体" w:hAnsi="宋体" w:eastAsia="宋体" w:cs="宋体"/>
          <w:sz w:val="21"/>
          <w:szCs w:val="21"/>
          <w:lang w:val="zh-CN"/>
        </w:rPr>
        <w:t>周岁的未成年人是无民事行为能力人，由他的</w:t>
      </w:r>
      <w:r>
        <w:rPr>
          <w:rStyle w:val="14"/>
          <w:rFonts w:hint="eastAsia" w:hAnsi="宋体" w:eastAsia="宋体" w:cs="宋体"/>
          <w:sz w:val="21"/>
          <w:szCs w:val="21"/>
          <w:lang w:eastAsia="zh-CN"/>
        </w:rPr>
        <w:t>法定代理人</w:t>
      </w:r>
      <w:r>
        <w:rPr>
          <w:rStyle w:val="14"/>
          <w:rFonts w:hint="eastAsia" w:ascii="宋体" w:hAnsi="宋体" w:eastAsia="宋体" w:cs="宋体"/>
          <w:sz w:val="21"/>
          <w:szCs w:val="21"/>
          <w:lang w:val="zh-CN"/>
        </w:rPr>
        <w:t>代理民事活动。未成年人不具有完全民事行为能力，属于弱势群体，邀请他们参加临床试验，伦理审查需要考虑一些特殊问题。</w:t>
      </w:r>
    </w:p>
    <w:p w14:paraId="74A2487A">
      <w:pPr>
        <w:pStyle w:val="32"/>
        <w:spacing w:after="0" w:line="240" w:lineRule="auto"/>
        <w:rPr>
          <w:rStyle w:val="14"/>
          <w:rFonts w:ascii="宋体" w:hAnsi="宋体" w:eastAsia="宋体" w:cs="宋体"/>
          <w:sz w:val="21"/>
          <w:szCs w:val="21"/>
          <w:lang w:val="zh-CN"/>
        </w:rPr>
      </w:pPr>
    </w:p>
    <w:p w14:paraId="10C3756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2.研究的合理性</w:t>
      </w:r>
    </w:p>
    <w:p w14:paraId="357B6DF2">
      <w:pPr>
        <w:pStyle w:val="32"/>
        <w:spacing w:after="0" w:line="240" w:lineRule="auto"/>
        <w:ind w:firstLine="420" w:firstLineChars="20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未成年人期疾病和未成年人特别易感的状态(如疫苗试验）以及既用于未成年人又用于成人的药品的临床试验，未成年人的参与是绝对必要的。现在已经普遍公认，作为一般规律，任何可能适用于未成年人的新的治疗、诊断或预防产品在上市前，申办者必须评价其对未成年人的安全性和有效性。</w:t>
      </w:r>
    </w:p>
    <w:p w14:paraId="5B35B6F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涉及未成年人的临床研究，研究者必须确保：</w:t>
      </w:r>
    </w:p>
    <w:p w14:paraId="36B97B66">
      <w:pPr>
        <w:pStyle w:val="32"/>
        <w:numPr>
          <w:ilvl w:val="0"/>
          <w:numId w:val="17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以成人为受试对象，研究不能同样好地进行。</w:t>
      </w:r>
    </w:p>
    <w:p w14:paraId="04BFC516">
      <w:pPr>
        <w:pStyle w:val="32"/>
        <w:numPr>
          <w:ilvl w:val="0"/>
          <w:numId w:val="17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研究的目的是获得有关未成年人健康需要的知识。</w:t>
      </w:r>
    </w:p>
    <w:p w14:paraId="4BF885FA">
      <w:pPr>
        <w:pStyle w:val="32"/>
        <w:numPr>
          <w:ilvl w:val="0"/>
          <w:numId w:val="17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每位未成年人的父母或</w:t>
      </w:r>
      <w:r>
        <w:rPr>
          <w:rStyle w:val="14"/>
          <w:rFonts w:hint="eastAsia" w:hAnsi="宋体" w:eastAsia="宋体" w:cs="宋体"/>
          <w:sz w:val="21"/>
          <w:szCs w:val="21"/>
          <w:lang w:eastAsia="zh-CN"/>
        </w:rPr>
        <w:t>法定代理人</w:t>
      </w:r>
      <w:r>
        <w:rPr>
          <w:rStyle w:val="14"/>
          <w:rFonts w:hint="eastAsia" w:ascii="宋体" w:hAnsi="宋体" w:eastAsia="宋体" w:cs="宋体"/>
          <w:sz w:val="21"/>
          <w:szCs w:val="21"/>
          <w:lang w:val="zh-CN"/>
        </w:rPr>
        <w:t>给予了同意。</w:t>
      </w:r>
    </w:p>
    <w:p w14:paraId="1838AF60">
      <w:pPr>
        <w:pStyle w:val="32"/>
        <w:numPr>
          <w:ilvl w:val="0"/>
          <w:numId w:val="17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已获得每位未成年人在其能力范围所给予的同意(赞成）。</w:t>
      </w:r>
    </w:p>
    <w:p w14:paraId="51ACAA66">
      <w:pPr>
        <w:pStyle w:val="32"/>
        <w:numPr>
          <w:ilvl w:val="0"/>
          <w:numId w:val="17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未成年人拒绝参加、或拒绝继续参加研究的意见将得到尊重。</w:t>
      </w:r>
    </w:p>
    <w:p w14:paraId="6811F18E">
      <w:pPr>
        <w:pStyle w:val="32"/>
        <w:spacing w:after="0" w:line="240" w:lineRule="auto"/>
        <w:rPr>
          <w:rStyle w:val="14"/>
          <w:rFonts w:ascii="宋体" w:hAnsi="宋体" w:eastAsia="宋体" w:cs="宋体"/>
          <w:sz w:val="21"/>
          <w:szCs w:val="21"/>
          <w:lang w:val="zh-CN"/>
        </w:rPr>
      </w:pPr>
    </w:p>
    <w:p w14:paraId="136CC103">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3．风险的特殊考量</w:t>
      </w:r>
    </w:p>
    <w:p w14:paraId="4E353D32">
      <w:pPr>
        <w:pStyle w:val="32"/>
        <w:numPr>
          <w:ilvl w:val="0"/>
          <w:numId w:val="17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痛苦最小化和风险最小化的设计原则。</w:t>
      </w:r>
    </w:p>
    <w:p w14:paraId="6B798E57">
      <w:pPr>
        <w:pStyle w:val="32"/>
        <w:numPr>
          <w:ilvl w:val="0"/>
          <w:numId w:val="17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不大于最小风险。</w:t>
      </w:r>
    </w:p>
    <w:p w14:paraId="31567E04">
      <w:pPr>
        <w:pStyle w:val="32"/>
        <w:numPr>
          <w:ilvl w:val="0"/>
          <w:numId w:val="17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大于最小风险，个体试验参与者有直接受益前景的研究：</w:t>
      </w:r>
    </w:p>
    <w:p w14:paraId="5E2D3432">
      <w:pPr>
        <w:pStyle w:val="32"/>
        <w:numPr>
          <w:ilvl w:val="0"/>
          <w:numId w:val="18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试验参与者的预期受益证明所涉及的风险是正当的。</w:t>
      </w:r>
    </w:p>
    <w:p w14:paraId="07384CB7">
      <w:pPr>
        <w:pStyle w:val="32"/>
        <w:numPr>
          <w:ilvl w:val="0"/>
          <w:numId w:val="18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研究风险和受益比至少与现有备选的干预措施相当。</w:t>
      </w:r>
    </w:p>
    <w:p w14:paraId="15E3C733">
      <w:pPr>
        <w:pStyle w:val="32"/>
        <w:numPr>
          <w:ilvl w:val="0"/>
          <w:numId w:val="18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大于最小风险，个体试验参与者没有直接受益前景的研究：</w:t>
      </w:r>
    </w:p>
    <w:p w14:paraId="5E5DA446">
      <w:pPr>
        <w:pStyle w:val="32"/>
        <w:numPr>
          <w:ilvl w:val="0"/>
          <w:numId w:val="18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风险稍大于最小风险。</w:t>
      </w:r>
    </w:p>
    <w:p w14:paraId="49740CD6">
      <w:pPr>
        <w:pStyle w:val="32"/>
        <w:numPr>
          <w:ilvl w:val="0"/>
          <w:numId w:val="18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研究干预措施对试验参与者的影响与他们实际的医疗状态相当。</w:t>
      </w:r>
    </w:p>
    <w:p w14:paraId="041D4DCE">
      <w:pPr>
        <w:pStyle w:val="32"/>
        <w:numPr>
          <w:ilvl w:val="0"/>
          <w:numId w:val="18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研究干预有望对试验参与者人群的疾病和身体状况产生普遍性知识，该知识对于理解和改善试验参与者人群的疾病和身体状况非常重要。</w:t>
      </w:r>
    </w:p>
    <w:p w14:paraId="733E8610">
      <w:pPr>
        <w:pStyle w:val="32"/>
        <w:spacing w:after="0" w:line="240" w:lineRule="auto"/>
        <w:rPr>
          <w:rStyle w:val="14"/>
          <w:rFonts w:ascii="宋体" w:hAnsi="宋体" w:eastAsia="宋体" w:cs="宋体"/>
          <w:sz w:val="21"/>
          <w:szCs w:val="21"/>
          <w:lang w:val="zh-CN"/>
        </w:rPr>
      </w:pPr>
    </w:p>
    <w:p w14:paraId="40AA16C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4．未成年人的赞同</w:t>
      </w:r>
    </w:p>
    <w:p w14:paraId="58390A57">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4.1赞同(同意参加研究的肯定意见）</w:t>
      </w:r>
    </w:p>
    <w:p w14:paraId="2276572F">
      <w:pPr>
        <w:pStyle w:val="32"/>
        <w:numPr>
          <w:ilvl w:val="0"/>
          <w:numId w:val="181"/>
        </w:numPr>
        <w:spacing w:after="0" w:line="240" w:lineRule="auto"/>
        <w:ind w:left="795" w:hanging="420"/>
        <w:rPr>
          <w:rStyle w:val="14"/>
          <w:rFonts w:ascii="宋体" w:hAnsi="宋体" w:eastAsia="宋体" w:cs="宋体"/>
          <w:sz w:val="21"/>
          <w:szCs w:val="21"/>
          <w:lang w:val="zh-CN"/>
        </w:rPr>
      </w:pPr>
      <w:r>
        <w:rPr>
          <w:rStyle w:val="14"/>
          <w:rFonts w:hint="eastAsia" w:ascii="宋体" w:hAnsi="宋体" w:eastAsia="宋体" w:cs="宋体"/>
          <w:sz w:val="21"/>
          <w:szCs w:val="21"/>
          <w:lang w:val="zh-CN"/>
        </w:rPr>
        <w:t>未成年人参加临床试验应该获得其父母或法定代理人的知情同意，并在未成年人发育和智力程度允许范围内告知其研究情况，征求</w:t>
      </w:r>
      <w:r>
        <w:rPr>
          <w:rStyle w:val="14"/>
          <w:rFonts w:hint="eastAsia" w:hAnsi="宋体" w:eastAsia="宋体" w:cs="宋体"/>
          <w:sz w:val="21"/>
          <w:szCs w:val="21"/>
          <w:lang w:val="zh-CN"/>
        </w:rPr>
        <w:t>未成年人</w:t>
      </w:r>
      <w:r>
        <w:rPr>
          <w:rStyle w:val="14"/>
          <w:rFonts w:hint="eastAsia" w:ascii="宋体" w:hAnsi="宋体" w:eastAsia="宋体" w:cs="宋体"/>
          <w:sz w:val="21"/>
          <w:szCs w:val="21"/>
          <w:lang w:val="zh-CN"/>
        </w:rPr>
        <w:t>的合作意愿。</w:t>
      </w:r>
    </w:p>
    <w:p w14:paraId="30FB629E">
      <w:pPr>
        <w:pStyle w:val="32"/>
        <w:numPr>
          <w:ilvl w:val="0"/>
          <w:numId w:val="181"/>
        </w:numPr>
        <w:spacing w:after="0" w:line="240" w:lineRule="auto"/>
        <w:rPr>
          <w:rStyle w:val="14"/>
          <w:rFonts w:ascii="宋体" w:hAnsi="宋体" w:eastAsia="宋体" w:cs="宋体"/>
          <w:sz w:val="21"/>
          <w:szCs w:val="21"/>
          <w:lang w:val="zh-CN"/>
        </w:rPr>
      </w:pPr>
      <w:r>
        <w:rPr>
          <w:rStyle w:val="14"/>
          <w:rFonts w:hint="eastAsia" w:hAnsi="宋体" w:eastAsia="宋体" w:cs="宋体"/>
          <w:sz w:val="21"/>
          <w:szCs w:val="21"/>
        </w:rPr>
        <w:t>8</w:t>
      </w:r>
      <w:r>
        <w:rPr>
          <w:rStyle w:val="14"/>
          <w:rFonts w:hint="eastAsia" w:ascii="宋体" w:hAnsi="宋体" w:eastAsia="宋体" w:cs="宋体"/>
          <w:sz w:val="21"/>
          <w:szCs w:val="21"/>
          <w:lang w:val="zh-CN"/>
        </w:rPr>
        <w:t>周岁以上的未成年人，应获得他们本人的同意。</w:t>
      </w:r>
    </w:p>
    <w:p w14:paraId="0CC6025B">
      <w:pPr>
        <w:pStyle w:val="32"/>
        <w:numPr>
          <w:ilvl w:val="0"/>
          <w:numId w:val="181"/>
        </w:numPr>
        <w:spacing w:after="0" w:line="240" w:lineRule="auto"/>
        <w:ind w:left="795" w:hanging="420"/>
        <w:rPr>
          <w:rStyle w:val="14"/>
          <w:rFonts w:ascii="宋体" w:hAnsi="宋体" w:eastAsia="宋体" w:cs="宋体"/>
          <w:sz w:val="21"/>
          <w:szCs w:val="21"/>
          <w:lang w:val="zh-CN"/>
        </w:rPr>
      </w:pPr>
      <w:r>
        <w:rPr>
          <w:rStyle w:val="14"/>
          <w:rFonts w:hint="eastAsia" w:ascii="宋体" w:hAnsi="宋体" w:eastAsia="宋体" w:cs="宋体"/>
          <w:sz w:val="21"/>
          <w:szCs w:val="21"/>
          <w:lang w:val="zh-CN"/>
        </w:rPr>
        <w:t>通常，还没有达到法定知情同意年龄的未成年人可以理解知情同意的含意，并能履行必要的程序；因此他们能够有意识的同意充当试验参与者。</w:t>
      </w:r>
    </w:p>
    <w:p w14:paraId="23550BE4">
      <w:pPr>
        <w:pStyle w:val="32"/>
        <w:numPr>
          <w:ilvl w:val="0"/>
          <w:numId w:val="18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没有表示反对，但是也没有给予肯定性同意，不应该被解释为赞同。</w:t>
      </w:r>
    </w:p>
    <w:p w14:paraId="2EFD0838">
      <w:pPr>
        <w:pStyle w:val="32"/>
        <w:numPr>
          <w:ilvl w:val="0"/>
          <w:numId w:val="181"/>
        </w:numPr>
        <w:spacing w:after="0" w:line="240" w:lineRule="auto"/>
        <w:ind w:left="795" w:hanging="420"/>
        <w:rPr>
          <w:rStyle w:val="14"/>
          <w:rFonts w:ascii="宋体" w:hAnsi="宋体" w:eastAsia="宋体" w:cs="宋体"/>
          <w:sz w:val="21"/>
          <w:szCs w:val="21"/>
          <w:lang w:val="zh-CN"/>
        </w:rPr>
      </w:pPr>
      <w:r>
        <w:rPr>
          <w:rStyle w:val="14"/>
          <w:rFonts w:hint="eastAsia" w:ascii="宋体" w:hAnsi="宋体" w:eastAsia="宋体" w:cs="宋体"/>
          <w:sz w:val="21"/>
          <w:szCs w:val="21"/>
          <w:lang w:val="zh-CN"/>
        </w:rPr>
        <w:t>如果未成年人试验参与者在研究期间成长为能够给予独立的知情同意，应该征求他们继续参加研究的知情同意并尊重他们的决定。</w:t>
      </w:r>
    </w:p>
    <w:p w14:paraId="3C3129B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4.2有意识的反对/明确的反对</w:t>
      </w:r>
    </w:p>
    <w:p w14:paraId="4519C4AB">
      <w:pPr>
        <w:pStyle w:val="32"/>
        <w:numPr>
          <w:ilvl w:val="0"/>
          <w:numId w:val="182"/>
        </w:numPr>
        <w:tabs>
          <w:tab w:val="left" w:pos="426"/>
        </w:tabs>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定义：相当多的未成年人发育尚不成熟，不能表示有理解力的同意或赞成，但可以对所提议的治疗程序表达一种"有意识的反对/明确的反对"，即不赞成或拒绝的表情。</w:t>
      </w:r>
    </w:p>
    <w:p w14:paraId="089AABA4">
      <w:pPr>
        <w:pStyle w:val="32"/>
        <w:numPr>
          <w:ilvl w:val="0"/>
          <w:numId w:val="18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年纪较大未成年人明确的反对与婴儿的行为不同，婴儿可能对几乎所有刺激的反应都是啼哭或者退缩。较大未成年人更有能力给予同意，应该优先于幼儿或婴儿被选为试验参与者，除非对先入选年幼未成年人的年龄有合理的科学依据。</w:t>
      </w:r>
    </w:p>
    <w:p w14:paraId="30B76C0D">
      <w:pPr>
        <w:pStyle w:val="32"/>
        <w:numPr>
          <w:ilvl w:val="0"/>
          <w:numId w:val="18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即使有父母的同意，未成年人有意识的反对/明确的反对参加研究应无例外地得到尊重。</w:t>
      </w:r>
    </w:p>
    <w:p w14:paraId="07B8EE6A">
      <w:pPr>
        <w:pStyle w:val="32"/>
        <w:spacing w:after="0" w:line="240" w:lineRule="auto"/>
        <w:ind w:left="383" w:leftChars="174" w:firstLine="0"/>
        <w:rPr>
          <w:rStyle w:val="14"/>
          <w:rFonts w:ascii="宋体" w:hAnsi="宋体" w:eastAsia="宋体" w:cs="宋体"/>
          <w:sz w:val="21"/>
          <w:szCs w:val="21"/>
          <w:lang w:val="zh-CN"/>
        </w:rPr>
      </w:pPr>
      <w:r>
        <w:rPr>
          <w:rStyle w:val="14"/>
          <w:rFonts w:hint="eastAsia" w:ascii="宋体" w:hAnsi="宋体" w:eastAsia="宋体" w:cs="宋体"/>
          <w:sz w:val="21"/>
          <w:szCs w:val="21"/>
          <w:lang w:val="zh-CN"/>
        </w:rPr>
        <w:t>4.2.1如果未成年人需要的治疗在研究以外的条件下不能获得，研究干预措施预示有治疗效果，并且没有令人满意的替代疗法，孩子有意识的反对/明确的反对的处理可分为以下2类情况：</w:t>
      </w:r>
    </w:p>
    <w:p w14:paraId="5C9F1B1E">
      <w:pPr>
        <w:pStyle w:val="32"/>
        <w:numPr>
          <w:ilvl w:val="0"/>
          <w:numId w:val="183"/>
        </w:numPr>
        <w:tabs>
          <w:tab w:val="left" w:pos="426"/>
        </w:tabs>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如果孩子非常年幼或发育不成熟，父母或者法定代理人可以不顾孩子的反对。</w:t>
      </w:r>
    </w:p>
    <w:p w14:paraId="5B218FA5">
      <w:pPr>
        <w:pStyle w:val="32"/>
        <w:numPr>
          <w:ilvl w:val="0"/>
          <w:numId w:val="18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如果孩子年龄较大并且几乎能够给予独立的知情同意，除应获得父母或法定代理人的同意外，还应获得伦理委员会的批准。</w:t>
      </w:r>
    </w:p>
    <w:p w14:paraId="3190A07B">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4.2.2患有可能致命疾病，研究干预有希望维持或延长生命，而且没有令人满意的替代疗法，孩子有意识的反对/明确的反对的处理原则：</w:t>
      </w:r>
    </w:p>
    <w:p w14:paraId="14696BF9">
      <w:pPr>
        <w:pStyle w:val="32"/>
        <w:numPr>
          <w:ilvl w:val="0"/>
          <w:numId w:val="143"/>
        </w:numPr>
        <w:spacing w:after="0" w:line="240" w:lineRule="auto"/>
        <w:ind w:left="789"/>
        <w:rPr>
          <w:rStyle w:val="14"/>
          <w:rFonts w:ascii="宋体" w:hAnsi="宋体" w:eastAsia="宋体" w:cs="宋体"/>
          <w:sz w:val="21"/>
          <w:szCs w:val="21"/>
          <w:lang w:val="zh-CN"/>
        </w:rPr>
      </w:pPr>
      <w:r>
        <w:rPr>
          <w:rStyle w:val="14"/>
          <w:rFonts w:hint="eastAsia" w:ascii="宋体" w:hAnsi="宋体" w:eastAsia="宋体" w:cs="宋体"/>
          <w:sz w:val="21"/>
          <w:szCs w:val="21"/>
          <w:lang w:val="zh-CN"/>
        </w:rPr>
        <w:t>父母可以违背孩子的意愿，坚持要求研究者继续实施研究干预措施。</w:t>
      </w:r>
    </w:p>
    <w:p w14:paraId="2B5FE867">
      <w:pPr>
        <w:pStyle w:val="32"/>
        <w:numPr>
          <w:ilvl w:val="0"/>
          <w:numId w:val="143"/>
        </w:numPr>
        <w:spacing w:after="0" w:line="240" w:lineRule="auto"/>
        <w:ind w:left="789"/>
        <w:rPr>
          <w:rStyle w:val="14"/>
          <w:rFonts w:ascii="宋体" w:hAnsi="宋体" w:eastAsia="宋体" w:cs="宋体"/>
          <w:sz w:val="21"/>
          <w:szCs w:val="21"/>
          <w:lang w:val="zh-CN"/>
        </w:rPr>
      </w:pPr>
      <w:r>
        <w:rPr>
          <w:rStyle w:val="14"/>
          <w:rFonts w:hint="eastAsia" w:ascii="宋体" w:hAnsi="宋体" w:eastAsia="宋体" w:cs="宋体"/>
          <w:sz w:val="21"/>
          <w:szCs w:val="21"/>
          <w:lang w:val="zh-CN"/>
        </w:rPr>
        <w:t>获得伦理委员会的批准。</w:t>
      </w:r>
    </w:p>
    <w:p w14:paraId="1963930F">
      <w:pPr>
        <w:pStyle w:val="32"/>
        <w:tabs>
          <w:tab w:val="left" w:pos="426"/>
        </w:tabs>
        <w:spacing w:after="0" w:line="240" w:lineRule="auto"/>
        <w:rPr>
          <w:rStyle w:val="14"/>
          <w:rFonts w:ascii="宋体" w:hAnsi="宋体" w:eastAsia="宋体" w:cs="宋体"/>
          <w:sz w:val="21"/>
          <w:szCs w:val="21"/>
          <w:lang w:val="zh-CN"/>
        </w:rPr>
      </w:pPr>
    </w:p>
    <w:p w14:paraId="1C0D5F8C">
      <w:pPr>
        <w:pStyle w:val="32"/>
        <w:tabs>
          <w:tab w:val="left" w:pos="426"/>
        </w:tabs>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5.父母或法定代理人的同意</w:t>
      </w:r>
    </w:p>
    <w:p w14:paraId="48174112">
      <w:pPr>
        <w:pStyle w:val="32"/>
        <w:numPr>
          <w:ilvl w:val="0"/>
          <w:numId w:val="18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未成年人参加临床研究，必须获得其父母或法定代理人的同意。</w:t>
      </w:r>
    </w:p>
    <w:p w14:paraId="3F2826C2">
      <w:pPr>
        <w:pStyle w:val="32"/>
        <w:numPr>
          <w:ilvl w:val="0"/>
          <w:numId w:val="18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未成年人的父母是未成年人的法定代理人。</w:t>
      </w:r>
    </w:p>
    <w:p w14:paraId="0263A471">
      <w:pPr>
        <w:pStyle w:val="32"/>
        <w:numPr>
          <w:ilvl w:val="0"/>
          <w:numId w:val="18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未成年人的父母己经死亡或者没有监护能力的，由下列人员中有监护能力的人担任</w:t>
      </w:r>
      <w:r>
        <w:rPr>
          <w:rStyle w:val="14"/>
          <w:rFonts w:hint="eastAsia" w:hAnsi="宋体" w:eastAsia="宋体" w:cs="宋体"/>
          <w:sz w:val="21"/>
          <w:szCs w:val="21"/>
          <w:lang w:val="zh-CN"/>
        </w:rPr>
        <w:t>法定代理人</w:t>
      </w:r>
      <w:r>
        <w:rPr>
          <w:rStyle w:val="14"/>
          <w:rFonts w:hint="eastAsia" w:ascii="宋体" w:hAnsi="宋体" w:eastAsia="宋体" w:cs="宋体"/>
          <w:sz w:val="21"/>
          <w:szCs w:val="21"/>
          <w:lang w:val="zh-CN"/>
        </w:rPr>
        <w:t>：①祖父母、外祖父母；②兄、姐；③其他符合《民法通则》规定的人员。</w:t>
      </w:r>
    </w:p>
    <w:p w14:paraId="43A82CDC">
      <w:pPr>
        <w:pStyle w:val="32"/>
        <w:numPr>
          <w:ilvl w:val="0"/>
          <w:numId w:val="18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只需要获得父母一方的同意的临床试验：</w:t>
      </w:r>
    </w:p>
    <w:p w14:paraId="25CDDB67">
      <w:pPr>
        <w:pStyle w:val="32"/>
        <w:numPr>
          <w:ilvl w:val="0"/>
          <w:numId w:val="18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不大于最小风险。</w:t>
      </w:r>
    </w:p>
    <w:p w14:paraId="6566C2FA">
      <w:pPr>
        <w:pStyle w:val="32"/>
        <w:numPr>
          <w:ilvl w:val="0"/>
          <w:numId w:val="18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或大于最小风险，但试验参与者有直接受益的前景。</w:t>
      </w:r>
    </w:p>
    <w:p w14:paraId="3252D261">
      <w:pPr>
        <w:pStyle w:val="32"/>
        <w:numPr>
          <w:ilvl w:val="0"/>
          <w:numId w:val="18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如果父母一方去世，或身份无法确认，或无民事行为能力，或经过合理的努力仍无法联系，或者只有父母一方对未成年人的照顾和监管负有法律责任，可以只获得父母一方的知情同意。</w:t>
      </w:r>
    </w:p>
    <w:p w14:paraId="2E5D99BF">
      <w:pPr>
        <w:pStyle w:val="32"/>
        <w:numPr>
          <w:ilvl w:val="0"/>
          <w:numId w:val="18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父母双方必须同时给予知情同意的临床试验：</w:t>
      </w:r>
    </w:p>
    <w:p w14:paraId="57E00B4D">
      <w:pPr>
        <w:pStyle w:val="32"/>
        <w:numPr>
          <w:ilvl w:val="0"/>
          <w:numId w:val="18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大于最小风险，并且试验参与者没有直接受益前景的研究。</w:t>
      </w:r>
    </w:p>
    <w:p w14:paraId="491E7DC9">
      <w:pPr>
        <w:pStyle w:val="32"/>
        <w:spacing w:after="0" w:line="240" w:lineRule="auto"/>
        <w:rPr>
          <w:rStyle w:val="14"/>
          <w:rFonts w:ascii="宋体" w:hAnsi="宋体" w:eastAsia="宋体" w:cs="宋体"/>
          <w:sz w:val="21"/>
          <w:szCs w:val="21"/>
          <w:lang w:val="zh-CN"/>
        </w:rPr>
      </w:pPr>
    </w:p>
    <w:p w14:paraId="31CC68A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6.父母或法定代理人的参与</w:t>
      </w:r>
    </w:p>
    <w:p w14:paraId="09D89AD4">
      <w:pPr>
        <w:pStyle w:val="32"/>
        <w:numPr>
          <w:ilvl w:val="0"/>
          <w:numId w:val="19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为未成年人参加研究做出许可的父母或法定代理人应有机会，在适当的程度上参与观察研究的进行，以便能使孩子退出研究，如果父母或法定代理人判定这样做是从孩子的最大利益出发。</w:t>
      </w:r>
    </w:p>
    <w:p w14:paraId="55B872A8">
      <w:pPr>
        <w:pStyle w:val="32"/>
        <w:spacing w:after="0" w:line="240" w:lineRule="auto"/>
        <w:rPr>
          <w:rStyle w:val="14"/>
          <w:rFonts w:ascii="宋体" w:hAnsi="宋体" w:eastAsia="宋体" w:cs="宋体"/>
          <w:sz w:val="21"/>
          <w:szCs w:val="21"/>
          <w:lang w:val="zh-CN"/>
        </w:rPr>
      </w:pPr>
    </w:p>
    <w:p w14:paraId="2013875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7.心理学和医学支持</w:t>
      </w:r>
    </w:p>
    <w:p w14:paraId="283C45E3">
      <w:pPr>
        <w:pStyle w:val="32"/>
        <w:numPr>
          <w:ilvl w:val="0"/>
          <w:numId w:val="19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涉及未成年人的研究应在未成年人和父母能够获得充分的医学和心理上支持的情况下实施。</w:t>
      </w:r>
    </w:p>
    <w:p w14:paraId="7FF7A4C8">
      <w:pPr>
        <w:pStyle w:val="32"/>
        <w:numPr>
          <w:ilvl w:val="0"/>
          <w:numId w:val="191"/>
        </w:numPr>
        <w:spacing w:after="0" w:line="240" w:lineRule="auto"/>
        <w:ind w:hanging="420" w:firstLineChars="0"/>
        <w:rPr>
          <w:rStyle w:val="14"/>
          <w:rFonts w:ascii="宋体" w:hAnsi="宋体" w:eastAsia="宋体" w:cs="宋体"/>
          <w:sz w:val="21"/>
          <w:szCs w:val="21"/>
          <w:lang w:val="zh-CN"/>
        </w:rPr>
      </w:pPr>
      <w:r>
        <w:rPr>
          <w:rStyle w:val="14"/>
          <w:rFonts w:hint="eastAsia" w:ascii="宋体" w:hAnsi="宋体" w:eastAsia="宋体" w:cs="宋体"/>
          <w:sz w:val="21"/>
          <w:szCs w:val="21"/>
          <w:lang w:val="zh-CN"/>
        </w:rPr>
        <w:t>作为对未成年人的加强保护，研究者可以就关于孩子参加该研究的问题获得孩子的家庭医师、儿科医师或其他卫生保健工作者的建议。</w:t>
      </w:r>
    </w:p>
    <w:p w14:paraId="5A799074">
      <w:pPr>
        <w:pStyle w:val="32"/>
        <w:numPr>
          <w:ilvl w:val="0"/>
          <w:numId w:val="19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如果研究明显不同于常规治疗，应该邀请父母一方或双方在场给孩子安慰，必要时，代表未成年人处理相关事宜。</w:t>
      </w:r>
    </w:p>
    <w:p w14:paraId="04A79F77">
      <w:pPr>
        <w:pStyle w:val="32"/>
        <w:numPr>
          <w:ilvl w:val="0"/>
          <w:numId w:val="19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如果研究不允许父母在场，应该加以解释，并且在知情同意书中明确说明。</w:t>
      </w:r>
    </w:p>
    <w:p w14:paraId="2D9D4C3B">
      <w:pPr>
        <w:pStyle w:val="32"/>
        <w:spacing w:after="0" w:line="240" w:lineRule="auto"/>
        <w:rPr>
          <w:rStyle w:val="14"/>
          <w:rFonts w:ascii="宋体" w:hAnsi="宋体" w:eastAsia="宋体" w:cs="宋体"/>
          <w:sz w:val="21"/>
          <w:szCs w:val="21"/>
          <w:lang w:val="zh-CN"/>
        </w:rPr>
      </w:pPr>
    </w:p>
    <w:p w14:paraId="06824F86">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8.知情同意的特殊考量 </w:t>
      </w:r>
    </w:p>
    <w:p w14:paraId="50318439">
      <w:pPr>
        <w:pStyle w:val="32"/>
        <w:numPr>
          <w:ilvl w:val="0"/>
          <w:numId w:val="19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未成年人作为试验参与者，必须征得其法定代理人的知情同意并签署知情同意书。    </w:t>
      </w:r>
    </w:p>
    <w:p w14:paraId="16AA4F8F">
      <w:pPr>
        <w:pStyle w:val="32"/>
        <w:numPr>
          <w:ilvl w:val="0"/>
          <w:numId w:val="19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当未成年人能做出同意参加研究的决定时，还必须征得其本人同意。</w:t>
      </w:r>
    </w:p>
    <w:p w14:paraId="1EBAD40D">
      <w:pPr>
        <w:pStyle w:val="32"/>
        <w:numPr>
          <w:ilvl w:val="0"/>
          <w:numId w:val="189"/>
        </w:numPr>
        <w:spacing w:after="0" w:line="240" w:lineRule="auto"/>
        <w:ind w:left="1214" w:leftChars="361" w:hangingChars="20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提供给未成年人试验参与者的知情告知信息，应以符合他们年龄和理解水平的语言和文字表述解释研究信息。</w:t>
      </w:r>
    </w:p>
    <w:p w14:paraId="0065CBEC">
      <w:pPr>
        <w:pStyle w:val="32"/>
        <w:numPr>
          <w:ilvl w:val="0"/>
          <w:numId w:val="189"/>
        </w:numPr>
        <w:spacing w:after="0" w:line="240" w:lineRule="auto"/>
        <w:jc w:val="both"/>
        <w:rPr>
          <w:rStyle w:val="14"/>
          <w:rFonts w:ascii="宋体" w:hAnsi="宋体" w:eastAsia="宋体" w:cs="宋体"/>
          <w:sz w:val="21"/>
          <w:szCs w:val="21"/>
          <w:lang w:val="zh-CN"/>
        </w:rPr>
      </w:pPr>
      <w:r>
        <w:rPr>
          <w:rStyle w:val="14"/>
          <w:rFonts w:hint="eastAsia" w:hAnsi="宋体" w:eastAsia="宋体" w:cs="宋体"/>
          <w:sz w:val="21"/>
          <w:szCs w:val="21"/>
        </w:rPr>
        <w:t>8</w:t>
      </w:r>
      <w:r>
        <w:rPr>
          <w:rStyle w:val="14"/>
          <w:rFonts w:hint="eastAsia" w:ascii="宋体" w:hAnsi="宋体" w:eastAsia="宋体" w:cs="宋体"/>
          <w:sz w:val="21"/>
          <w:szCs w:val="21"/>
          <w:lang w:val="zh-CN"/>
        </w:rPr>
        <w:t>周岁以上的未成年人，必须获得其参加研究的同意；如果其具备相应的阅</w:t>
      </w:r>
    </w:p>
    <w:p w14:paraId="5C4CBE00">
      <w:pPr>
        <w:pStyle w:val="32"/>
        <w:spacing w:after="0" w:line="240" w:lineRule="auto"/>
        <w:ind w:firstLine="1260" w:firstLineChars="60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读和理解能力，应要求其签署知情同意书。</w:t>
      </w:r>
    </w:p>
    <w:p w14:paraId="0721F8B8">
      <w:pPr>
        <w:pStyle w:val="32"/>
        <w:numPr>
          <w:ilvl w:val="0"/>
          <w:numId w:val="189"/>
        </w:numPr>
        <w:spacing w:after="0" w:line="240" w:lineRule="auto"/>
        <w:jc w:val="both"/>
        <w:rPr>
          <w:rStyle w:val="14"/>
          <w:rFonts w:ascii="宋体" w:hAnsi="宋体" w:eastAsia="宋体" w:cs="宋体"/>
          <w:sz w:val="21"/>
          <w:szCs w:val="21"/>
          <w:lang w:val="zh-CN"/>
        </w:rPr>
      </w:pPr>
      <w:r>
        <w:rPr>
          <w:rStyle w:val="14"/>
          <w:rFonts w:hint="eastAsia" w:hAnsi="宋体" w:eastAsia="宋体" w:cs="宋体"/>
          <w:sz w:val="21"/>
          <w:szCs w:val="21"/>
        </w:rPr>
        <w:t>8</w:t>
      </w:r>
      <w:r>
        <w:rPr>
          <w:rStyle w:val="14"/>
          <w:rFonts w:hint="eastAsia" w:ascii="宋体" w:hAnsi="宋体" w:eastAsia="宋体" w:cs="宋体"/>
          <w:sz w:val="21"/>
          <w:szCs w:val="21"/>
          <w:lang w:val="zh-CN"/>
        </w:rPr>
        <w:t>周岁以下的</w:t>
      </w:r>
      <w:r>
        <w:rPr>
          <w:rStyle w:val="14"/>
          <w:rFonts w:hint="eastAsia" w:hAnsi="宋体" w:eastAsia="宋体" w:cs="宋体"/>
          <w:sz w:val="21"/>
          <w:szCs w:val="21"/>
          <w:lang w:val="zh-CN"/>
        </w:rPr>
        <w:t>未成年人</w:t>
      </w:r>
      <w:r>
        <w:rPr>
          <w:rStyle w:val="14"/>
          <w:rFonts w:hint="eastAsia" w:ascii="宋体" w:hAnsi="宋体" w:eastAsia="宋体" w:cs="宋体"/>
          <w:sz w:val="21"/>
          <w:szCs w:val="21"/>
          <w:lang w:val="zh-CN"/>
        </w:rPr>
        <w:t>，如果能做出同意参加研究的决定时，也应获得其参加研究的同意。</w:t>
      </w:r>
    </w:p>
    <w:p w14:paraId="3D4F703A">
      <w:pPr>
        <w:pStyle w:val="32"/>
        <w:numPr>
          <w:ilvl w:val="0"/>
          <w:numId w:val="19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 告知未成年人的父母或法定代理人，他们可以在什么程度上观察研究的进行，并可以从孩子的最大利益出发，决定孩子退出研究。</w:t>
      </w:r>
    </w:p>
    <w:p w14:paraId="2B91428E">
      <w:pPr>
        <w:pStyle w:val="32"/>
        <w:spacing w:after="0" w:line="240" w:lineRule="auto"/>
        <w:ind w:left="795" w:firstLine="0"/>
        <w:jc w:val="both"/>
        <w:rPr>
          <w:rStyle w:val="14"/>
          <w:rFonts w:ascii="宋体" w:hAnsi="宋体" w:eastAsia="宋体" w:cs="宋体"/>
          <w:sz w:val="21"/>
          <w:szCs w:val="21"/>
          <w:lang w:val="zh-CN"/>
        </w:rPr>
      </w:pPr>
    </w:p>
    <w:p w14:paraId="7EB3011F">
      <w:pPr>
        <w:pStyle w:val="32"/>
        <w:spacing w:after="0" w:line="240" w:lineRule="auto"/>
        <w:ind w:firstLine="386" w:firstLineChars="184"/>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9. 涉及公共福利机构的未成年人的研究</w:t>
      </w:r>
    </w:p>
    <w:p w14:paraId="343F03AA">
      <w:pPr>
        <w:pStyle w:val="32"/>
        <w:numPr>
          <w:ilvl w:val="0"/>
          <w:numId w:val="195"/>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公共福利机构中的未成年人没有父母，或其父母在法律上无权给予同意，关于招募这些未成年人进行研究的合理性，伦理委员会在审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中应寻求熟悉公共福利机构未成年人情况的独立顾问的意见。</w:t>
      </w:r>
    </w:p>
    <w:p w14:paraId="707C5EE8">
      <w:pPr>
        <w:pStyle w:val="32"/>
        <w:numPr>
          <w:ilvl w:val="0"/>
          <w:numId w:val="196"/>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应获得法定代理人的同意。公共福利机构的工作人员，即使是合法</w:t>
      </w:r>
      <w:r>
        <w:rPr>
          <w:rStyle w:val="14"/>
          <w:rFonts w:hint="eastAsia" w:hAnsi="宋体" w:eastAsia="宋体" w:cs="宋体"/>
          <w:sz w:val="21"/>
          <w:szCs w:val="21"/>
          <w:lang w:val="zh-CN"/>
        </w:rPr>
        <w:t>法定代理人</w:t>
      </w:r>
      <w:r>
        <w:rPr>
          <w:rStyle w:val="14"/>
          <w:rFonts w:hint="eastAsia" w:ascii="宋体" w:hAnsi="宋体" w:eastAsia="宋体" w:cs="宋体"/>
          <w:sz w:val="21"/>
          <w:szCs w:val="21"/>
          <w:lang w:val="zh-CN"/>
        </w:rPr>
        <w:t>，一般不被认为是代理知情同意的合适人选。</w:t>
      </w:r>
    </w:p>
    <w:p w14:paraId="6E51D56D">
      <w:pPr>
        <w:pStyle w:val="32"/>
        <w:numPr>
          <w:ilvl w:val="0"/>
          <w:numId w:val="197"/>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对已经由法院指令由公共福利机构托管的未成年人，纳入他们参加研究需</w:t>
      </w:r>
    </w:p>
    <w:p w14:paraId="5475AD35">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要法律授权。</w:t>
      </w:r>
    </w:p>
    <w:p w14:paraId="4182B8C6">
      <w:pPr>
        <w:pStyle w:val="32"/>
        <w:numPr>
          <w:ilvl w:val="0"/>
          <w:numId w:val="198"/>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当未成年人能做出同意参加研究的决定时，还必须征得其本人同意。</w:t>
      </w:r>
    </w:p>
    <w:p w14:paraId="4EF75AB2">
      <w:pPr>
        <w:pStyle w:val="32"/>
        <w:spacing w:after="0" w:line="240" w:lineRule="auto"/>
        <w:jc w:val="both"/>
        <w:rPr>
          <w:rStyle w:val="14"/>
          <w:rFonts w:ascii="宋体" w:hAnsi="宋体" w:eastAsia="宋体" w:cs="宋体"/>
          <w:sz w:val="21"/>
          <w:szCs w:val="21"/>
          <w:lang w:val="zh-CN"/>
        </w:rPr>
      </w:pPr>
    </w:p>
    <w:p w14:paraId="025F458B">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10.药物Ⅰ期临床试验或疫苗Ⅰ、 Ⅱ期临床试验</w:t>
      </w:r>
    </w:p>
    <w:p w14:paraId="206A2024">
      <w:pPr>
        <w:pStyle w:val="32"/>
        <w:numPr>
          <w:ilvl w:val="0"/>
          <w:numId w:val="199"/>
        </w:numPr>
        <w:spacing w:after="0" w:line="240" w:lineRule="auto"/>
        <w:ind w:hanging="420" w:firstLineChars="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一般而言，未成年人不适合药物Ⅰ期临床试验或疫苗Ⅰ、 Ⅱ期临床试验，但这类试验在成人研究显示有治疗或预防效果后是允许的。</w:t>
      </w:r>
    </w:p>
    <w:p w14:paraId="225FB868">
      <w:pPr>
        <w:pStyle w:val="32"/>
        <w:numPr>
          <w:ilvl w:val="0"/>
          <w:numId w:val="200"/>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目标疾病为未成年人所特有，或临床表现与成人不同，未成年人参加试验是合适的。</w:t>
      </w:r>
    </w:p>
    <w:p w14:paraId="4D323184">
      <w:pPr>
        <w:pStyle w:val="32"/>
        <w:numPr>
          <w:ilvl w:val="255"/>
          <w:numId w:val="0"/>
        </w:numPr>
        <w:spacing w:after="0" w:line="240" w:lineRule="auto"/>
        <w:ind w:left="375"/>
        <w:jc w:val="both"/>
        <w:rPr>
          <w:rStyle w:val="14"/>
          <w:rFonts w:ascii="宋体" w:hAnsi="宋体" w:eastAsia="宋体" w:cs="宋体"/>
          <w:sz w:val="21"/>
          <w:szCs w:val="21"/>
          <w:lang w:val="zh-CN"/>
        </w:rPr>
      </w:pPr>
    </w:p>
    <w:p w14:paraId="19A27696">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四、涉及精神障碍人群的研究</w:t>
      </w:r>
    </w:p>
    <w:p w14:paraId="08AC25F9">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1.定义</w:t>
      </w:r>
    </w:p>
    <w:p w14:paraId="4F396DE4">
      <w:pPr>
        <w:pStyle w:val="32"/>
        <w:numPr>
          <w:ilvl w:val="0"/>
          <w:numId w:val="201"/>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精神障碍是各种精神或心理异常的总称，又称精神和行为障碍，或精神疾病。</w:t>
      </w:r>
    </w:p>
    <w:p w14:paraId="693992A7">
      <w:pPr>
        <w:pStyle w:val="32"/>
        <w:numPr>
          <w:ilvl w:val="0"/>
          <w:numId w:val="202"/>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大多数精神障碍的患者能够理解研究的性质和研究的风险，能够做出自主决定；</w:t>
      </w:r>
    </w:p>
    <w:p w14:paraId="60BBEDCD">
      <w:pPr>
        <w:pStyle w:val="32"/>
        <w:spacing w:after="0" w:line="240" w:lineRule="auto"/>
        <w:ind w:left="375" w:firstLine="315" w:firstLineChars="15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本指南是指那些没有能力给予充分知情同意或由于病情恶化变得暂时没有能力的</w:t>
      </w:r>
    </w:p>
    <w:p w14:paraId="249EC936">
      <w:pPr>
        <w:pStyle w:val="32"/>
        <w:spacing w:after="0" w:line="240" w:lineRule="auto"/>
        <w:ind w:firstLine="735" w:firstLineChars="350"/>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精神障碍。</w:t>
      </w:r>
    </w:p>
    <w:p w14:paraId="7A99DA21">
      <w:pPr>
        <w:pStyle w:val="32"/>
        <w:spacing w:after="0" w:line="240" w:lineRule="auto"/>
        <w:jc w:val="both"/>
        <w:rPr>
          <w:rStyle w:val="14"/>
          <w:rFonts w:ascii="宋体" w:hAnsi="宋体" w:eastAsia="宋体" w:cs="宋体"/>
          <w:sz w:val="21"/>
          <w:szCs w:val="21"/>
          <w:lang w:val="zh-CN"/>
        </w:rPr>
      </w:pPr>
    </w:p>
    <w:p w14:paraId="7B52290F">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2.研究的合理性</w:t>
      </w:r>
    </w:p>
    <w:p w14:paraId="19FE1512">
      <w:pPr>
        <w:pStyle w:val="32"/>
        <w:numPr>
          <w:ilvl w:val="0"/>
          <w:numId w:val="203"/>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研究的目的是为获得有关精神障碍者特有的健康需要的知识、并且只能在他们身上进行的试验。</w:t>
      </w:r>
    </w:p>
    <w:p w14:paraId="437B0751">
      <w:pPr>
        <w:pStyle w:val="32"/>
        <w:numPr>
          <w:ilvl w:val="0"/>
          <w:numId w:val="189"/>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在给予充分知情同意能力没有受损的人身上能同样好地进行研究，这类人就不能成为试验参与者。</w:t>
      </w:r>
    </w:p>
    <w:p w14:paraId="61D4759B">
      <w:pPr>
        <w:pStyle w:val="32"/>
        <w:numPr>
          <w:ilvl w:val="0"/>
          <w:numId w:val="189"/>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对于探索某些严重智力或行为障碍的病因和治疗的大部分研究，他们显然是唯一合适的试验参与者。</w:t>
      </w:r>
    </w:p>
    <w:p w14:paraId="2EB0AA94">
      <w:pPr>
        <w:pStyle w:val="32"/>
        <w:numPr>
          <w:ilvl w:val="0"/>
          <w:numId w:val="204"/>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已获得与每位试验参与者能力程度相应的同意，试验参与者拒绝参加研究应始终受到尊重。</w:t>
      </w:r>
    </w:p>
    <w:p w14:paraId="4A8CBF7D">
      <w:pPr>
        <w:pStyle w:val="32"/>
        <w:numPr>
          <w:ilvl w:val="0"/>
          <w:numId w:val="205"/>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应获得其法定代理人的同意。</w:t>
      </w:r>
    </w:p>
    <w:p w14:paraId="149B0271">
      <w:pPr>
        <w:pStyle w:val="32"/>
        <w:spacing w:after="0" w:line="240" w:lineRule="auto"/>
        <w:jc w:val="both"/>
        <w:rPr>
          <w:rStyle w:val="14"/>
          <w:rFonts w:ascii="宋体" w:hAnsi="宋体" w:eastAsia="宋体" w:cs="宋体"/>
          <w:sz w:val="21"/>
          <w:szCs w:val="21"/>
          <w:lang w:val="zh-CN"/>
        </w:rPr>
      </w:pPr>
    </w:p>
    <w:p w14:paraId="19B96F56">
      <w:pPr>
        <w:pStyle w:val="32"/>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3.知情同意的特殊考量</w:t>
      </w:r>
    </w:p>
    <w:p w14:paraId="79F0F840">
      <w:pPr>
        <w:pStyle w:val="32"/>
        <w:numPr>
          <w:ilvl w:val="0"/>
          <w:numId w:val="206"/>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法定代理人的同意。</w:t>
      </w:r>
    </w:p>
    <w:p w14:paraId="2C70B06E">
      <w:pPr>
        <w:pStyle w:val="32"/>
        <w:numPr>
          <w:ilvl w:val="0"/>
          <w:numId w:val="207"/>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法定代理人：①配偶；②父母；③成年子女；④其他近亲属；⑤其他符合《民法</w:t>
      </w:r>
      <w:r>
        <w:rPr>
          <w:rStyle w:val="14"/>
          <w:rFonts w:hint="eastAsia" w:hAnsi="宋体" w:eastAsia="宋体" w:cs="宋体"/>
          <w:sz w:val="21"/>
          <w:szCs w:val="21"/>
        </w:rPr>
        <w:t>典</w:t>
      </w:r>
      <w:r>
        <w:rPr>
          <w:rStyle w:val="14"/>
          <w:rFonts w:hint="eastAsia" w:ascii="宋体" w:hAnsi="宋体" w:eastAsia="宋体" w:cs="宋体"/>
          <w:sz w:val="21"/>
          <w:szCs w:val="21"/>
          <w:lang w:val="zh-CN"/>
        </w:rPr>
        <w:t>》规定的人员。</w:t>
      </w:r>
    </w:p>
    <w:p w14:paraId="7A2D2521">
      <w:pPr>
        <w:pStyle w:val="32"/>
        <w:numPr>
          <w:ilvl w:val="0"/>
          <w:numId w:val="207"/>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即使有法定代理人的“同意”，仍应尊重“能力低下者”本人的感觉和意愿。</w:t>
      </w:r>
    </w:p>
    <w:p w14:paraId="30F65388">
      <w:pPr>
        <w:pStyle w:val="32"/>
        <w:numPr>
          <w:ilvl w:val="0"/>
          <w:numId w:val="207"/>
        </w:numPr>
        <w:spacing w:after="0" w:line="240" w:lineRule="auto"/>
        <w:jc w:val="both"/>
        <w:rPr>
          <w:rStyle w:val="14"/>
          <w:rFonts w:ascii="宋体" w:hAnsi="宋体" w:eastAsia="宋体" w:cs="宋体"/>
          <w:sz w:val="21"/>
          <w:szCs w:val="21"/>
          <w:lang w:val="zh-CN"/>
        </w:rPr>
      </w:pPr>
      <w:r>
        <w:rPr>
          <w:rStyle w:val="14"/>
          <w:rFonts w:hint="eastAsia" w:ascii="宋体" w:hAnsi="宋体" w:eastAsia="宋体" w:cs="宋体"/>
          <w:sz w:val="21"/>
          <w:szCs w:val="21"/>
          <w:lang w:val="zh-CN"/>
        </w:rPr>
        <w:t>公共福利机构的工作人员，即使是法定代理人，一般不被认为是代理知情同意的合适人选。</w:t>
      </w:r>
    </w:p>
    <w:p w14:paraId="74EF5BA6">
      <w:pPr>
        <w:pStyle w:val="32"/>
        <w:numPr>
          <w:ilvl w:val="0"/>
          <w:numId w:val="20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对已经由法院指令由公共福利机构托管的精神障碍患者，纳入他们参加研究需要法律授权。</w:t>
      </w:r>
    </w:p>
    <w:p w14:paraId="1D9BE7F1">
      <w:pPr>
        <w:pStyle w:val="32"/>
        <w:numPr>
          <w:ilvl w:val="0"/>
          <w:numId w:val="20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于能够理解研究的性质和研究的风险，给予知情同意的精神障碍的患者，应在他们精神状态许可范围内征得其本人对参加与否表示同意和拒绝，他们任何反对参加对他们没有直接受益的研究应始终受到尊重；绝对不可以在没有他本人同意的情况下将其纳入临床研究。</w:t>
      </w:r>
    </w:p>
    <w:p w14:paraId="011DCD1D">
      <w:pPr>
        <w:pStyle w:val="32"/>
        <w:numPr>
          <w:ilvl w:val="0"/>
          <w:numId w:val="20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精神障碍患者被认为没有能力给予知情同意之前，应当有明确的证据表明其患有影响其推理或判断能力的严重精神障碍，或由于精神障碍病情恶化变得暂时没有能力。</w:t>
      </w:r>
    </w:p>
    <w:p w14:paraId="6F528CBA">
      <w:pPr>
        <w:pStyle w:val="32"/>
        <w:numPr>
          <w:ilvl w:val="0"/>
          <w:numId w:val="20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伦理委员会可以要求由独立的、有资格的专家评估</w:t>
      </w:r>
      <w:r>
        <w:rPr>
          <w:rStyle w:val="14"/>
          <w:rFonts w:hint="eastAsia" w:hAnsi="宋体" w:eastAsia="宋体" w:cs="宋体"/>
          <w:sz w:val="21"/>
          <w:szCs w:val="21"/>
          <w:lang w:val="zh-CN"/>
        </w:rPr>
        <w:t>试验参与者</w:t>
      </w:r>
      <w:r>
        <w:rPr>
          <w:rStyle w:val="14"/>
          <w:rFonts w:hint="eastAsia" w:ascii="宋体" w:hAnsi="宋体" w:eastAsia="宋体" w:cs="宋体"/>
          <w:sz w:val="21"/>
          <w:szCs w:val="21"/>
          <w:lang w:val="zh-CN"/>
        </w:rPr>
        <w:t>给予知情同意的能力。</w:t>
      </w:r>
    </w:p>
    <w:p w14:paraId="4CEDA871">
      <w:pPr>
        <w:pStyle w:val="32"/>
        <w:numPr>
          <w:ilvl w:val="0"/>
          <w:numId w:val="20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精神障碍病人的理解和决定能力可能会随着疾病的自然病程、治疗效果、药物的作用、全身健康状况，以及其他因素而波动；因此，知情同意能力应进行定期再评估。</w:t>
      </w:r>
    </w:p>
    <w:p w14:paraId="5463D995">
      <w:pPr>
        <w:pStyle w:val="32"/>
        <w:numPr>
          <w:ilvl w:val="0"/>
          <w:numId w:val="20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当精神障碍患者能做出同意参加研究的决定时，还必须征得其本人同意。</w:t>
      </w:r>
    </w:p>
    <w:p w14:paraId="159EFD80">
      <w:pPr>
        <w:pStyle w:val="32"/>
        <w:spacing w:after="0" w:line="240" w:lineRule="auto"/>
        <w:rPr>
          <w:rStyle w:val="14"/>
          <w:rFonts w:ascii="宋体" w:hAnsi="宋体" w:eastAsia="宋体" w:cs="宋体"/>
          <w:sz w:val="21"/>
          <w:szCs w:val="21"/>
          <w:lang w:val="zh-CN"/>
        </w:rPr>
      </w:pPr>
    </w:p>
    <w:p w14:paraId="0F6FDF36">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4.由于精神障碍不能给予充分知情同意者，同时罹患其他严重疾病的情况</w:t>
      </w:r>
    </w:p>
    <w:p w14:paraId="51D2C793">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精神障碍不能给予充分知情同意者，同时患有严重疾病、或有患严重疾病的危险，如艾滋病病毒感染，癌症或肝炎：</w:t>
      </w:r>
    </w:p>
    <w:p w14:paraId="1E3F2BA5">
      <w:pPr>
        <w:pStyle w:val="32"/>
        <w:numPr>
          <w:ilvl w:val="0"/>
          <w:numId w:val="21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不应排除他们参加有预期治疗或预防效果的研究药品、疫苗或医疗器械的临床研究，尤其当没有更好的或相同的治疗或预防措施的时候。</w:t>
      </w:r>
    </w:p>
    <w:p w14:paraId="787A193A">
      <w:pPr>
        <w:pStyle w:val="32"/>
        <w:spacing w:after="0" w:line="240" w:lineRule="auto"/>
        <w:jc w:val="center"/>
        <w:rPr>
          <w:rStyle w:val="14"/>
          <w:rFonts w:ascii="宋体" w:hAnsi="宋体" w:eastAsia="宋体" w:cs="宋体"/>
          <w:sz w:val="28"/>
          <w:szCs w:val="28"/>
          <w:lang w:val="zh-CN"/>
        </w:rPr>
      </w:pPr>
    </w:p>
    <w:p w14:paraId="7F26C06D">
      <w:pPr>
        <w:pStyle w:val="32"/>
        <w:spacing w:after="0" w:line="240" w:lineRule="auto"/>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第九章</w:t>
      </w:r>
      <w:r>
        <w:rPr>
          <w:rStyle w:val="14"/>
          <w:rFonts w:hint="eastAsia" w:ascii="宋体" w:hAnsi="宋体" w:eastAsia="宋体" w:cs="宋体"/>
          <w:sz w:val="28"/>
          <w:szCs w:val="28"/>
        </w:rPr>
        <w:t xml:space="preserve"> </w:t>
      </w:r>
      <w:r>
        <w:rPr>
          <w:rStyle w:val="14"/>
          <w:rFonts w:hint="eastAsia" w:ascii="宋体" w:hAnsi="宋体" w:eastAsia="宋体" w:cs="宋体"/>
          <w:sz w:val="28"/>
          <w:szCs w:val="28"/>
          <w:lang w:val="zh-CN"/>
        </w:rPr>
        <w:t>涉及妇女、孕妇的研究</w:t>
      </w:r>
    </w:p>
    <w:p w14:paraId="0CB1074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一、涉及妇女的研究</w:t>
      </w:r>
    </w:p>
    <w:p w14:paraId="7E70844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1.背景</w:t>
      </w:r>
    </w:p>
    <w:p w14:paraId="3D90A4EA">
      <w:pPr>
        <w:pStyle w:val="32"/>
        <w:numPr>
          <w:ilvl w:val="0"/>
          <w:numId w:val="21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育龄期妇女在研究期间有怀孕的可能，其本身不能作为排除或限制参加研究的理由。</w:t>
      </w:r>
    </w:p>
    <w:p w14:paraId="71137328">
      <w:pPr>
        <w:pStyle w:val="32"/>
        <w:numPr>
          <w:ilvl w:val="0"/>
          <w:numId w:val="21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人类试验参与者的临床研究应包括不同的性别，这样研究结果可以使得患有该疾病的所有人群都能受益，特别是妇女易患疾病的研究。排除生物学上能够受孕的妇女参加临床研究的政策是不公平的，因其使妇女这一群体丧失从研究得出的新知识的利益。而且，这也是对妇女自主权的冒犯。</w:t>
      </w:r>
    </w:p>
    <w:p w14:paraId="1235B0AF">
      <w:pPr>
        <w:pStyle w:val="32"/>
        <w:numPr>
          <w:ilvl w:val="0"/>
          <w:numId w:val="21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如果是在基于人群的研究中，某个性别被排除在外，研究者必须提供明确的有说服力的理由。</w:t>
      </w:r>
    </w:p>
    <w:p w14:paraId="30C7D376">
      <w:pPr>
        <w:pStyle w:val="32"/>
        <w:numPr>
          <w:ilvl w:val="0"/>
          <w:numId w:val="21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在进行研究设计和符合研究目的的样本量计算时应该考虑性别问题。</w:t>
      </w:r>
    </w:p>
    <w:p w14:paraId="7D081DF2">
      <w:pPr>
        <w:pStyle w:val="32"/>
        <w:spacing w:after="0" w:line="240" w:lineRule="auto"/>
        <w:rPr>
          <w:rStyle w:val="14"/>
          <w:rFonts w:ascii="宋体" w:hAnsi="宋体" w:eastAsia="宋体" w:cs="宋体"/>
          <w:sz w:val="21"/>
          <w:szCs w:val="21"/>
          <w:lang w:val="zh-CN"/>
        </w:rPr>
      </w:pPr>
    </w:p>
    <w:p w14:paraId="3B71C31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2.选择育龄期妇女作为试验参与者的条件</w:t>
      </w:r>
    </w:p>
    <w:p w14:paraId="16559AFA">
      <w:pPr>
        <w:pStyle w:val="32"/>
        <w:numPr>
          <w:ilvl w:val="0"/>
          <w:numId w:val="21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详尽讨论研究对孕妇和胎儿的风险，是妇女做出参加临床研究理性决定的先决条件。</w:t>
      </w:r>
    </w:p>
    <w:p w14:paraId="7F9F6B05">
      <w:pPr>
        <w:pStyle w:val="32"/>
        <w:numPr>
          <w:ilvl w:val="0"/>
          <w:numId w:val="211"/>
        </w:numPr>
        <w:spacing w:after="0" w:line="240" w:lineRule="auto"/>
        <w:ind w:left="795" w:hanging="420"/>
        <w:rPr>
          <w:rStyle w:val="14"/>
          <w:rFonts w:ascii="宋体" w:hAnsi="宋体" w:eastAsia="宋体" w:cs="宋体"/>
          <w:sz w:val="21"/>
          <w:szCs w:val="21"/>
          <w:lang w:val="zh-CN"/>
        </w:rPr>
      </w:pPr>
      <w:r>
        <w:rPr>
          <w:rStyle w:val="14"/>
          <w:rFonts w:hint="eastAsia" w:ascii="宋体" w:hAnsi="宋体" w:eastAsia="宋体" w:cs="宋体"/>
          <w:sz w:val="21"/>
          <w:szCs w:val="21"/>
          <w:lang w:val="zh-CN"/>
        </w:rPr>
        <w:t>应以妊娠试验确认试验参与者未受孕，并在研究开始之前采取有效的避孕方法；如果由于宗教或其他原因，不能采取避孕措施，则研究者不应招募可能怀孕的妇女进行可能有这类风险的研究。</w:t>
      </w:r>
    </w:p>
    <w:p w14:paraId="21D9938F">
      <w:pPr>
        <w:pStyle w:val="32"/>
        <w:numPr>
          <w:ilvl w:val="0"/>
          <w:numId w:val="21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如果研究的潜在风险足以要求排除孕妇参加，就必须明确排除可能妊娠妇女参加研究，或确保育龄期妇女在研究期间及其后一段时间不受孕，或者对她们进行单独的研究。</w:t>
      </w:r>
    </w:p>
    <w:p w14:paraId="32FE886D">
      <w:pPr>
        <w:pStyle w:val="32"/>
        <w:spacing w:after="0" w:line="240" w:lineRule="auto"/>
        <w:rPr>
          <w:rStyle w:val="14"/>
          <w:rFonts w:ascii="宋体" w:hAnsi="宋体" w:eastAsia="宋体" w:cs="宋体"/>
          <w:sz w:val="21"/>
          <w:szCs w:val="21"/>
          <w:lang w:val="zh-CN"/>
        </w:rPr>
      </w:pPr>
    </w:p>
    <w:p w14:paraId="69C48F4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3.知情同意的特殊考量</w:t>
      </w:r>
    </w:p>
    <w:p w14:paraId="34B92375">
      <w:pPr>
        <w:pStyle w:val="32"/>
        <w:numPr>
          <w:ilvl w:val="0"/>
          <w:numId w:val="21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信息告知</w:t>
      </w:r>
    </w:p>
    <w:p w14:paraId="3D920DBB">
      <w:pPr>
        <w:pStyle w:val="32"/>
        <w:numPr>
          <w:ilvl w:val="0"/>
          <w:numId w:val="21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应帮助她们理解如果在研究期间受孕，特定治疗或研究程序可能对胚胎或胎儿、她本人或具有当前已知的、或不可预测的风险。</w:t>
      </w:r>
    </w:p>
    <w:p w14:paraId="27258AB0">
      <w:pPr>
        <w:pStyle w:val="32"/>
        <w:numPr>
          <w:ilvl w:val="0"/>
          <w:numId w:val="21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建议在研究期间甚至在研究结束后的一段时间内避孕或中止哺乳。</w:t>
      </w:r>
    </w:p>
    <w:p w14:paraId="66464DEA">
      <w:pPr>
        <w:pStyle w:val="32"/>
        <w:numPr>
          <w:ilvl w:val="0"/>
          <w:numId w:val="21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一旦怀孕，要立即通知研究者。</w:t>
      </w:r>
    </w:p>
    <w:p w14:paraId="3227EAE4">
      <w:pPr>
        <w:pStyle w:val="32"/>
        <w:numPr>
          <w:ilvl w:val="0"/>
          <w:numId w:val="21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如果受孕可在两个方案中选择：自愿地退出研究，或终止妊娠。如果不终止妊娠，应该向她们保证医疗随访。</w:t>
      </w:r>
    </w:p>
    <w:p w14:paraId="406B0159">
      <w:pPr>
        <w:pStyle w:val="32"/>
        <w:numPr>
          <w:ilvl w:val="0"/>
          <w:numId w:val="21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知情同意的过程</w:t>
      </w:r>
    </w:p>
    <w:p w14:paraId="641F88F9">
      <w:pPr>
        <w:pStyle w:val="32"/>
        <w:numPr>
          <w:ilvl w:val="0"/>
          <w:numId w:val="21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生活在某些地区的妇女习惯于服从权威或丈夫（甚至服从于儿子），在这种情况下，研究者在知情同意过程中要给予特别的关心，以保证她们有充分的时间、适当的环境、根据明确给予的信息做出决定。</w:t>
      </w:r>
    </w:p>
    <w:p w14:paraId="28D6A9E6">
      <w:pPr>
        <w:pStyle w:val="32"/>
        <w:numPr>
          <w:ilvl w:val="0"/>
          <w:numId w:val="21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同意的决定</w:t>
      </w:r>
    </w:p>
    <w:p w14:paraId="4E40B68B">
      <w:pPr>
        <w:pStyle w:val="32"/>
        <w:numPr>
          <w:ilvl w:val="0"/>
          <w:numId w:val="21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在涉及育龄期妇女的研究中，不论怀孕与否，只需要该妇女本人的知情同意她就可参加研究。配偶或伴侣的许可决不能代替个体的知情同意。</w:t>
      </w:r>
    </w:p>
    <w:p w14:paraId="23A7D21B">
      <w:pPr>
        <w:pStyle w:val="32"/>
        <w:numPr>
          <w:ilvl w:val="0"/>
          <w:numId w:val="21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妇女希望在决定参加研究以前，和她们的配偶或伴侣商量、或自愿地获得他们的许可，这不仅在伦理上是允许的，而且在有些情况下是非常可取的。然而，严格要求配偶或伴侣的授权，有违尊重个人的独立原则。</w:t>
      </w:r>
    </w:p>
    <w:p w14:paraId="783426F4">
      <w:pPr>
        <w:pStyle w:val="32"/>
        <w:spacing w:after="0" w:line="240" w:lineRule="auto"/>
        <w:rPr>
          <w:rStyle w:val="14"/>
          <w:rFonts w:ascii="宋体" w:hAnsi="宋体" w:eastAsia="宋体" w:cs="宋体"/>
          <w:sz w:val="21"/>
          <w:szCs w:val="21"/>
          <w:lang w:val="zh-CN"/>
        </w:rPr>
      </w:pPr>
    </w:p>
    <w:p w14:paraId="03C753FB">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二、涉及孕妇的研究</w:t>
      </w:r>
    </w:p>
    <w:p w14:paraId="10ED890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1.背景</w:t>
      </w:r>
    </w:p>
    <w:p w14:paraId="03AF4211">
      <w:pPr>
        <w:pStyle w:val="32"/>
        <w:numPr>
          <w:ilvl w:val="0"/>
          <w:numId w:val="21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应假定孕妇有资格参加生物医学研究。</w:t>
      </w:r>
    </w:p>
    <w:p w14:paraId="75863C32">
      <w:pPr>
        <w:pStyle w:val="32"/>
        <w:spacing w:after="0" w:line="240" w:lineRule="auto"/>
        <w:rPr>
          <w:rStyle w:val="14"/>
          <w:rFonts w:ascii="宋体" w:hAnsi="宋体" w:eastAsia="宋体" w:cs="宋体"/>
          <w:sz w:val="21"/>
          <w:szCs w:val="21"/>
          <w:lang w:val="zh-CN"/>
        </w:rPr>
      </w:pPr>
    </w:p>
    <w:p w14:paraId="39C048F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2.研究的合理性</w:t>
      </w:r>
    </w:p>
    <w:p w14:paraId="20BB2C48">
      <w:pPr>
        <w:pStyle w:val="32"/>
        <w:numPr>
          <w:ilvl w:val="0"/>
          <w:numId w:val="21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只有当研究是针对孕妇或胎儿特有的健康需要，或针对孕妇总体的健康需要，并且如果适用，有来自动物实验、尤其是关于致畸和致突变风险的可靠证据予以支持才能在孕妇群体中实施研究。</w:t>
      </w:r>
    </w:p>
    <w:p w14:paraId="479E7AC1">
      <w:pPr>
        <w:pStyle w:val="32"/>
        <w:numPr>
          <w:ilvl w:val="0"/>
          <w:numId w:val="21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涉及孕妇的研究可能对妇女及其胎儿，以及由胎儿成长的人，带来风险和可能的受益，因而要证明其合理性是复杂的。</w:t>
      </w:r>
    </w:p>
    <w:p w14:paraId="25D82B96">
      <w:pPr>
        <w:pStyle w:val="32"/>
        <w:spacing w:after="0" w:line="240" w:lineRule="auto"/>
        <w:rPr>
          <w:rStyle w:val="14"/>
          <w:rFonts w:ascii="宋体" w:hAnsi="宋体" w:eastAsia="宋体" w:cs="宋体"/>
          <w:sz w:val="21"/>
          <w:szCs w:val="21"/>
          <w:lang w:val="zh-CN"/>
        </w:rPr>
      </w:pPr>
    </w:p>
    <w:p w14:paraId="710CDB6D">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3．知情同意的特殊考量  </w:t>
      </w:r>
    </w:p>
    <w:p w14:paraId="154ADECF">
      <w:pPr>
        <w:pStyle w:val="32"/>
        <w:numPr>
          <w:ilvl w:val="0"/>
          <w:numId w:val="21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信息告知</w:t>
      </w:r>
    </w:p>
    <w:p w14:paraId="74526890">
      <w:pPr>
        <w:pStyle w:val="32"/>
        <w:numPr>
          <w:ilvl w:val="0"/>
          <w:numId w:val="21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 xml:space="preserve">充分告知有关她们自己、她们的身孕、胎儿和她们的后代，以及她们的生育力的风险和受益。 </w:t>
      </w:r>
    </w:p>
    <w:p w14:paraId="18825374">
      <w:pPr>
        <w:pStyle w:val="32"/>
        <w:numPr>
          <w:ilvl w:val="0"/>
          <w:numId w:val="21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同意的决定</w:t>
      </w:r>
    </w:p>
    <w:p w14:paraId="5AC8356C">
      <w:pPr>
        <w:pStyle w:val="32"/>
        <w:numPr>
          <w:ilvl w:val="0"/>
          <w:numId w:val="21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关于风险可接受性的决定作为知情同意过程的一部分应该由母亲做出。</w:t>
      </w:r>
    </w:p>
    <w:p w14:paraId="4DB6577C">
      <w:pPr>
        <w:pStyle w:val="32"/>
        <w:numPr>
          <w:ilvl w:val="0"/>
          <w:numId w:val="21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针对胎儿健康的研究，即使没有或没有明确的有关风险的证据，如果可能，对胎儿风险可接受的决定最好也应征求父亲的意见。</w:t>
      </w:r>
    </w:p>
    <w:p w14:paraId="6747156C">
      <w:pPr>
        <w:pStyle w:val="32"/>
        <w:spacing w:after="0" w:line="240" w:lineRule="auto"/>
        <w:rPr>
          <w:rStyle w:val="14"/>
          <w:rFonts w:ascii="宋体" w:hAnsi="宋体" w:eastAsia="宋体" w:cs="宋体"/>
          <w:sz w:val="21"/>
          <w:szCs w:val="21"/>
          <w:lang w:val="zh-CN"/>
        </w:rPr>
      </w:pPr>
    </w:p>
    <w:p w14:paraId="2D0DC739">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4．其他的特殊考量</w:t>
      </w:r>
    </w:p>
    <w:p w14:paraId="04A09A45">
      <w:pPr>
        <w:pStyle w:val="32"/>
        <w:numPr>
          <w:ilvl w:val="0"/>
          <w:numId w:val="21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不能向终止妊娠提供激励、金钱或其他补偿。</w:t>
      </w:r>
    </w:p>
    <w:p w14:paraId="204B0443">
      <w:pPr>
        <w:pStyle w:val="32"/>
        <w:numPr>
          <w:ilvl w:val="0"/>
          <w:numId w:val="21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研究人员无权参与终止妊娠的时间、方法或措施的决定。</w:t>
      </w:r>
    </w:p>
    <w:p w14:paraId="78EF44D8">
      <w:pPr>
        <w:pStyle w:val="32"/>
        <w:numPr>
          <w:ilvl w:val="0"/>
          <w:numId w:val="21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研究人员无权参与新生儿生存问题的决定。</w:t>
      </w:r>
    </w:p>
    <w:p w14:paraId="0E310FC1">
      <w:pPr>
        <w:pStyle w:val="32"/>
        <w:numPr>
          <w:ilvl w:val="0"/>
          <w:numId w:val="21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有些群体或地区，文化信仰认为胎儿比妇女的生命或健康更重要，妇女可能感到是被迫参加，或被迫不参加研究。应采取特别保护措施，防止不适当地劝诱孕妇参加对胎儿有直接受益前景的干预措施的研究，特别是当研究可能对孕妇造成伤害时。</w:t>
      </w:r>
    </w:p>
    <w:p w14:paraId="0B360734">
      <w:pPr>
        <w:pStyle w:val="32"/>
        <w:numPr>
          <w:ilvl w:val="0"/>
          <w:numId w:val="21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在胎儿异常不被认为是流产适应证的地方，如果</w:t>
      </w:r>
      <w:r>
        <w:rPr>
          <w:rStyle w:val="14"/>
          <w:rFonts w:hint="eastAsia" w:hAnsi="宋体" w:eastAsia="宋体" w:cs="宋体"/>
          <w:sz w:val="21"/>
          <w:szCs w:val="21"/>
          <w:lang w:val="zh-CN"/>
        </w:rPr>
        <w:t>试验参与者</w:t>
      </w:r>
      <w:r>
        <w:rPr>
          <w:rStyle w:val="14"/>
          <w:rFonts w:hint="eastAsia" w:ascii="宋体" w:hAnsi="宋体" w:eastAsia="宋体" w:cs="宋体"/>
          <w:sz w:val="21"/>
          <w:szCs w:val="21"/>
          <w:lang w:val="zh-CN"/>
        </w:rPr>
        <w:t>参加研究确实可能导致胎儿异常，就不应招募孕妇参加研究。</w:t>
      </w:r>
    </w:p>
    <w:p w14:paraId="32BF1030">
      <w:pPr>
        <w:pStyle w:val="32"/>
        <w:numPr>
          <w:ilvl w:val="0"/>
          <w:numId w:val="21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研究者应在涉及孕妇的研究方案中包括监测怀孕结果的计划，即关于妇女的健康以及孩子近期和远期的健康。</w:t>
      </w:r>
    </w:p>
    <w:p w14:paraId="66DCC10D">
      <w:pPr>
        <w:pStyle w:val="32"/>
        <w:spacing w:after="0" w:line="240" w:lineRule="auto"/>
        <w:jc w:val="center"/>
        <w:rPr>
          <w:rStyle w:val="14"/>
          <w:rFonts w:ascii="宋体" w:hAnsi="宋体" w:eastAsia="宋体" w:cs="宋体"/>
          <w:sz w:val="28"/>
          <w:szCs w:val="28"/>
          <w:lang w:val="zh-CN"/>
        </w:rPr>
      </w:pPr>
    </w:p>
    <w:p w14:paraId="3DE6F1BB">
      <w:pPr>
        <w:pStyle w:val="32"/>
        <w:spacing w:after="0" w:line="240" w:lineRule="auto"/>
        <w:jc w:val="center"/>
        <w:rPr>
          <w:rStyle w:val="14"/>
          <w:rFonts w:ascii="宋体" w:hAnsi="宋体" w:eastAsia="宋体" w:cs="宋体"/>
          <w:sz w:val="28"/>
          <w:szCs w:val="28"/>
          <w:lang w:val="zh-CN"/>
        </w:rPr>
      </w:pPr>
      <w:r>
        <w:rPr>
          <w:rStyle w:val="14"/>
          <w:rFonts w:hint="eastAsia" w:ascii="宋体" w:hAnsi="宋体" w:eastAsia="宋体" w:cs="宋体"/>
          <w:sz w:val="28"/>
          <w:szCs w:val="28"/>
          <w:lang w:val="zh-CN"/>
        </w:rPr>
        <w:t>第十章</w:t>
      </w:r>
      <w:r>
        <w:rPr>
          <w:rStyle w:val="14"/>
          <w:rFonts w:hint="eastAsia" w:ascii="宋体" w:hAnsi="宋体" w:eastAsia="宋体" w:cs="宋体"/>
          <w:sz w:val="28"/>
          <w:szCs w:val="28"/>
        </w:rPr>
        <w:t xml:space="preserve"> </w:t>
      </w:r>
      <w:r>
        <w:rPr>
          <w:rStyle w:val="14"/>
          <w:rFonts w:hint="eastAsia" w:ascii="宋体" w:hAnsi="宋体" w:eastAsia="宋体" w:cs="宋体"/>
          <w:sz w:val="28"/>
          <w:szCs w:val="28"/>
          <w:lang w:val="zh-CN"/>
        </w:rPr>
        <w:t>国外机构发起的研究</w:t>
      </w:r>
    </w:p>
    <w:p w14:paraId="5FD45CE3">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国外机构发起的研究是指在我国（东道国）进行，但由一个国外的国际或国家的组织或医药公司与东道国有关当局、机构和个人合作或达成协议，来申办、资助，有时全部或部分承担实施的研究。</w:t>
      </w:r>
    </w:p>
    <w:p w14:paraId="70FC550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一、原则</w:t>
      </w:r>
    </w:p>
    <w:p w14:paraId="1B567184">
      <w:pPr>
        <w:pStyle w:val="32"/>
        <w:numPr>
          <w:ilvl w:val="0"/>
          <w:numId w:val="22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国外的申办组织或个体的研究者应向其所在国提交研究方案进行伦理学和科学审查，伦理评价标准应和研究实施所在国同样严格。研究实施所在国的伦理委员会应审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确认研究方案是针对研究所在国的国民健康需要，并符合必要的伦理标准。</w:t>
      </w:r>
    </w:p>
    <w:p w14:paraId="5E4DA08E">
      <w:pPr>
        <w:pStyle w:val="32"/>
        <w:numPr>
          <w:ilvl w:val="0"/>
          <w:numId w:val="22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实施所在国和申办者所在国的伦理委员会都有责任进行科学和伦理审查，并都有权拒绝批准不能满足他们科学或伦理标准的研究方案，并都必须尽可能地保证审查是独立的，避免与研究任何方面有关的、可能影响伦理委员会委员判断的利益冲突。当国外的申办者是一个国际组织，对研究提案的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必须符合其自身的独立伦理审查程序和标准。</w:t>
      </w:r>
    </w:p>
    <w:p w14:paraId="63154BFD">
      <w:pPr>
        <w:pStyle w:val="32"/>
        <w:spacing w:after="0" w:line="240" w:lineRule="auto"/>
        <w:rPr>
          <w:rStyle w:val="14"/>
          <w:rFonts w:ascii="宋体" w:hAnsi="宋体" w:eastAsia="宋体" w:cs="宋体"/>
          <w:sz w:val="21"/>
          <w:szCs w:val="21"/>
          <w:lang w:val="zh-CN"/>
        </w:rPr>
      </w:pPr>
    </w:p>
    <w:p w14:paraId="43111209">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二、审查要点</w:t>
      </w:r>
    </w:p>
    <w:p w14:paraId="00EDB70B">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1.伦理审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的特殊职责</w:t>
      </w:r>
    </w:p>
    <w:p w14:paraId="3A93D752">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1.1国外申办国或国际组织的伦理委员会的特殊职责</w:t>
      </w:r>
    </w:p>
    <w:p w14:paraId="54B832B7">
      <w:pPr>
        <w:pStyle w:val="32"/>
        <w:numPr>
          <w:ilvl w:val="0"/>
          <w:numId w:val="22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判定科学方法是否合理并符合研究目标。</w:t>
      </w:r>
    </w:p>
    <w:p w14:paraId="397E7830">
      <w:pPr>
        <w:pStyle w:val="32"/>
        <w:numPr>
          <w:ilvl w:val="0"/>
          <w:numId w:val="22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所研究的药品、疫苗、设备或程序是否足够符合安全标准。</w:t>
      </w:r>
    </w:p>
    <w:p w14:paraId="43D59DE2">
      <w:pPr>
        <w:pStyle w:val="32"/>
        <w:numPr>
          <w:ilvl w:val="0"/>
          <w:numId w:val="22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研究在东道国而不是在申办者所在国或其他国家实施是否存在合理的理由。</w:t>
      </w:r>
    </w:p>
    <w:p w14:paraId="7516B5C6">
      <w:pPr>
        <w:pStyle w:val="32"/>
        <w:numPr>
          <w:ilvl w:val="0"/>
          <w:numId w:val="22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研究方案是否符合国外申办者所在国或国际组织的伦理标准。</w:t>
      </w:r>
    </w:p>
    <w:p w14:paraId="0348627F">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1.2我国伦理委员会的特殊职责</w:t>
      </w:r>
    </w:p>
    <w:p w14:paraId="0AF75577">
      <w:pPr>
        <w:pStyle w:val="32"/>
        <w:numPr>
          <w:ilvl w:val="0"/>
          <w:numId w:val="22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研究目标是否针对本国的健康需要。</w:t>
      </w:r>
    </w:p>
    <w:p w14:paraId="4D9679F8">
      <w:pPr>
        <w:pStyle w:val="32"/>
        <w:numPr>
          <w:ilvl w:val="0"/>
          <w:numId w:val="22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根据我国的社会风俗和传统，判断研究方案各个方面的伦理可接受性。</w:t>
      </w:r>
    </w:p>
    <w:p w14:paraId="20D1F15C">
      <w:pPr>
        <w:pStyle w:val="32"/>
        <w:numPr>
          <w:ilvl w:val="0"/>
          <w:numId w:val="22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获取知情同意的方法、尊重可能的试验参与对象权利的其他方面，以及所提议的保护研究试验参与者健康的方法的可接受性。</w:t>
      </w:r>
    </w:p>
    <w:p w14:paraId="31250B8C">
      <w:pPr>
        <w:pStyle w:val="32"/>
        <w:numPr>
          <w:ilvl w:val="0"/>
          <w:numId w:val="22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根据当地社会的礼物互赠及其他风俗和传统，就物质利益或激励措施是否合适提出建议。</w:t>
      </w:r>
    </w:p>
    <w:p w14:paraId="7538CB61">
      <w:pPr>
        <w:pStyle w:val="32"/>
        <w:numPr>
          <w:ilvl w:val="0"/>
          <w:numId w:val="22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根据我国试验参与人群的文化和道德标准，审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研究计划的依从性。</w:t>
      </w:r>
    </w:p>
    <w:p w14:paraId="1EDF3A0F">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2.东道国的健康需要</w:t>
      </w:r>
    </w:p>
    <w:p w14:paraId="74C301A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2.1规则</w:t>
      </w:r>
    </w:p>
    <w:p w14:paraId="78224F75">
      <w:pPr>
        <w:pStyle w:val="32"/>
        <w:numPr>
          <w:ilvl w:val="0"/>
          <w:numId w:val="22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研究是针对实施研究所在地人群或社会的健康需要。</w:t>
      </w:r>
    </w:p>
    <w:p w14:paraId="574F30EA">
      <w:pPr>
        <w:pStyle w:val="32"/>
        <w:numPr>
          <w:ilvl w:val="0"/>
          <w:numId w:val="22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任何干预措施或开发的产品，或获得的知识，都将被合理地用于使该人群或社会受益。</w:t>
      </w:r>
    </w:p>
    <w:p w14:paraId="1414732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2.2健康需要</w:t>
      </w:r>
    </w:p>
    <w:p w14:paraId="6F915E9A">
      <w:pPr>
        <w:pStyle w:val="32"/>
        <w:numPr>
          <w:ilvl w:val="0"/>
          <w:numId w:val="22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研究是针对实施研究所在地人群或社会的健康需要：</w:t>
      </w:r>
    </w:p>
    <w:p w14:paraId="36E71AD4">
      <w:pPr>
        <w:pStyle w:val="32"/>
        <w:numPr>
          <w:ilvl w:val="0"/>
          <w:numId w:val="22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某一疾病在这一人群中流行，需要新的或进一步的研究。同时，该人群将获得成功的干预措施、或其他健康受益。</w:t>
      </w:r>
    </w:p>
    <w:p w14:paraId="5AFD0B9C">
      <w:pPr>
        <w:pStyle w:val="32"/>
        <w:numPr>
          <w:ilvl w:val="0"/>
          <w:numId w:val="22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如果研究实施国绝大部分人群负担不起试验产品，而研究所获得的知识主要使能够买得起试验产品的人群受益，那么该项研究就具有</w:t>
      </w:r>
      <w:r>
        <w:rPr>
          <w:rStyle w:val="14"/>
          <w:rFonts w:hint="eastAsia" w:ascii="宋体" w:hAnsi="宋体" w:eastAsia="宋体" w:cs="宋体"/>
          <w:sz w:val="21"/>
          <w:szCs w:val="21"/>
        </w:rPr>
        <w:t>“</w:t>
      </w:r>
      <w:r>
        <w:rPr>
          <w:rStyle w:val="14"/>
          <w:rFonts w:hint="eastAsia" w:ascii="宋体" w:hAnsi="宋体" w:eastAsia="宋体" w:cs="宋体"/>
          <w:sz w:val="21"/>
          <w:szCs w:val="21"/>
          <w:lang w:val="zh-CN"/>
        </w:rPr>
        <w:t>出于私利的利用”的特征，因而是不道德的。</w:t>
      </w:r>
    </w:p>
    <w:p w14:paraId="38B33C49">
      <w:pPr>
        <w:pStyle w:val="32"/>
        <w:spacing w:after="0" w:line="240" w:lineRule="auto"/>
        <w:rPr>
          <w:rStyle w:val="14"/>
          <w:rFonts w:ascii="宋体" w:hAnsi="宋体" w:eastAsia="宋体" w:cs="宋体"/>
          <w:sz w:val="21"/>
          <w:szCs w:val="21"/>
          <w:lang w:val="zh-CN"/>
        </w:rPr>
      </w:pPr>
    </w:p>
    <w:p w14:paraId="4F1C837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三、国外申办者提供健康医疗服务的道德义务</w:t>
      </w:r>
    </w:p>
    <w:p w14:paraId="13ECB9B0">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国外申办者提供卫生保健服务的义务因特定的研究情况和东道国的需要而异。申办者在特定研究中的义务应在研究方案中阐明。</w:t>
      </w:r>
    </w:p>
    <w:p w14:paraId="7B9C4AA8">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国外申办者在伦理上有义务确保可获得：</w:t>
      </w:r>
    </w:p>
    <w:p w14:paraId="35E9184D">
      <w:pPr>
        <w:pStyle w:val="32"/>
        <w:numPr>
          <w:ilvl w:val="0"/>
          <w:numId w:val="22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安全地进行研究所必须的卫生保健服务。</w:t>
      </w:r>
    </w:p>
    <w:p w14:paraId="4A5612D2">
      <w:pPr>
        <w:pStyle w:val="32"/>
        <w:numPr>
          <w:ilvl w:val="0"/>
          <w:numId w:val="22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研究方案应详细说明在研究期间及研究后，试验参与本人、从中筛选试验参与者的人群或东道国、地区可得到的哪些卫生保健服务，服务持续多长时间并在知情同意的过程和文件中详细说明。</w:t>
      </w:r>
    </w:p>
    <w:p w14:paraId="631CDBC0">
      <w:pPr>
        <w:pStyle w:val="32"/>
        <w:numPr>
          <w:ilvl w:val="0"/>
          <w:numId w:val="22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虽然申办者一般不必提供实施研究所需范围以外的卫生保健服务，但如果这样做，在道德上是值得称赞的。典型的这类服务包括治疗在研究过程中所患的疾病。例如：可能同意治疗在针对传染病免疫的疫苗试验中感染的该传染病，或对与研究无关的伴随发生的病症提供治疗。</w:t>
      </w:r>
    </w:p>
    <w:p w14:paraId="6527504E">
      <w:pPr>
        <w:pStyle w:val="32"/>
        <w:numPr>
          <w:ilvl w:val="0"/>
          <w:numId w:val="22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治疗由于研究干预措施而受到损害的试验参与者。</w:t>
      </w:r>
    </w:p>
    <w:p w14:paraId="3040AE55">
      <w:pPr>
        <w:pStyle w:val="32"/>
        <w:numPr>
          <w:ilvl w:val="0"/>
          <w:numId w:val="23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有责任保证因研究干预措施而受到损害的试验参与者获得免费医疗，并有责任向这类损害而致死亡或残疾提供赔偿。</w:t>
      </w:r>
    </w:p>
    <w:p w14:paraId="3C6CBF3B">
      <w:pPr>
        <w:pStyle w:val="32"/>
        <w:numPr>
          <w:ilvl w:val="0"/>
          <w:numId w:val="230"/>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申办者承诺中的一个必须部分，将作为研究成果的有益干预措施或产品将合理地用于有关人群或社会，使之受益。</w:t>
      </w:r>
    </w:p>
    <w:p w14:paraId="32F117CC">
      <w:pPr>
        <w:pStyle w:val="32"/>
        <w:spacing w:after="0" w:line="240" w:lineRule="auto"/>
        <w:rPr>
          <w:rStyle w:val="14"/>
          <w:rFonts w:ascii="宋体" w:hAnsi="宋体" w:eastAsia="宋体" w:cs="宋体"/>
          <w:sz w:val="21"/>
          <w:szCs w:val="21"/>
          <w:lang w:val="zh-CN"/>
        </w:rPr>
      </w:pPr>
    </w:p>
    <w:p w14:paraId="662AAD0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四、加强伦理和科学审查能力以及生物医学研究的能力</w:t>
      </w:r>
    </w:p>
    <w:p w14:paraId="0E3C96B3">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1.国外申办者在伦理上的义务</w:t>
      </w:r>
    </w:p>
    <w:p w14:paraId="456E0A7F">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国外申办者在伦理上有义务促进东道国、地区或机构可持续的、独立的科学和伦理审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能力以及生物医学研究的能力。</w:t>
      </w:r>
    </w:p>
    <w:p w14:paraId="29959031">
      <w:pPr>
        <w:pStyle w:val="32"/>
        <w:numPr>
          <w:ilvl w:val="0"/>
          <w:numId w:val="229"/>
        </w:numPr>
        <w:spacing w:after="0" w:line="240" w:lineRule="auto"/>
        <w:ind w:left="794" w:leftChars="170" w:hangingChars="200"/>
        <w:rPr>
          <w:rStyle w:val="14"/>
          <w:rFonts w:ascii="宋体" w:hAnsi="宋体" w:eastAsia="宋体" w:cs="宋体"/>
          <w:sz w:val="21"/>
          <w:szCs w:val="21"/>
          <w:lang w:val="zh-CN"/>
        </w:rPr>
      </w:pPr>
      <w:r>
        <w:rPr>
          <w:rStyle w:val="14"/>
          <w:rFonts w:hint="eastAsia" w:ascii="宋体" w:hAnsi="宋体" w:eastAsia="宋体" w:cs="宋体"/>
          <w:sz w:val="21"/>
          <w:szCs w:val="21"/>
          <w:lang w:val="zh-CN"/>
        </w:rPr>
        <w:t>许多国家、地区或机构没有能力评审或确保在其管辖范围内所提议的或进行的生物医学研究的科学性或伦理的可接受性。</w:t>
      </w:r>
    </w:p>
    <w:p w14:paraId="69C96A69">
      <w:pPr>
        <w:pStyle w:val="32"/>
        <w:numPr>
          <w:ilvl w:val="0"/>
          <w:numId w:val="22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由国外机构发起的合作研究，申办者和研究者在伦理上有义务保证，在这些国家、地区或机构中由他们负责的生物医学研究项目将对该国或地区、机构的生物医学研究的设计和实施能力起到有效的促进作用，并为这类研究提供科学和伦理审查和监察。</w:t>
      </w:r>
    </w:p>
    <w:p w14:paraId="6F042A57">
      <w:pPr>
        <w:pStyle w:val="32"/>
        <w:spacing w:after="0" w:line="240" w:lineRule="auto"/>
        <w:rPr>
          <w:rStyle w:val="14"/>
          <w:rFonts w:ascii="宋体" w:hAnsi="宋体" w:eastAsia="宋体" w:cs="宋体"/>
          <w:sz w:val="21"/>
          <w:szCs w:val="21"/>
          <w:lang w:val="zh-CN"/>
        </w:rPr>
      </w:pPr>
    </w:p>
    <w:p w14:paraId="0DD9308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2.能力培养的工作，包括（但不限于）：</w:t>
      </w:r>
    </w:p>
    <w:p w14:paraId="6027C505">
      <w:pPr>
        <w:pStyle w:val="32"/>
        <w:numPr>
          <w:ilvl w:val="0"/>
          <w:numId w:val="22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建立和加强独立的、有能力的伦理审查程序/伦理委员会。</w:t>
      </w:r>
    </w:p>
    <w:p w14:paraId="70BE3511">
      <w:pPr>
        <w:pStyle w:val="32"/>
        <w:numPr>
          <w:ilvl w:val="0"/>
          <w:numId w:val="22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加强研究能力。</w:t>
      </w:r>
    </w:p>
    <w:p w14:paraId="4C06CEBA">
      <w:pPr>
        <w:pStyle w:val="32"/>
        <w:numPr>
          <w:ilvl w:val="0"/>
          <w:numId w:val="22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发展适用的卫生保健以及生物医学研究的技术。</w:t>
      </w:r>
    </w:p>
    <w:p w14:paraId="3C3591A8">
      <w:pPr>
        <w:pStyle w:val="32"/>
        <w:numPr>
          <w:ilvl w:val="0"/>
          <w:numId w:val="22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培训研究和卫生保健人员。</w:t>
      </w:r>
    </w:p>
    <w:p w14:paraId="6E21BCEF">
      <w:pPr>
        <w:pStyle w:val="32"/>
        <w:numPr>
          <w:ilvl w:val="0"/>
          <w:numId w:val="22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对从中筛选试验参与者的人群进行教育。</w:t>
      </w:r>
    </w:p>
    <w:p w14:paraId="1F5A140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3．能力培养的计划</w:t>
      </w:r>
    </w:p>
    <w:p w14:paraId="5DBF76CF">
      <w:pPr>
        <w:pStyle w:val="32"/>
        <w:numPr>
          <w:ilvl w:val="0"/>
          <w:numId w:val="231"/>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研究方案中应有促进这些能力的具体计划。</w:t>
      </w:r>
    </w:p>
    <w:p w14:paraId="153DBF5D">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合理预期培养的能力大小应与研究项目的规模相适应。例如：</w:t>
      </w:r>
    </w:p>
    <w:p w14:paraId="7CE3164B">
      <w:pPr>
        <w:pStyle w:val="32"/>
        <w:numPr>
          <w:ilvl w:val="0"/>
          <w:numId w:val="23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仅涉及回顾性调查病历的简单流行病学研究，可能几乎不需要培养这些能力，而一个预期持续两、三年的大规模疫苗领域的试验，可能需要国外申办者做出相当大的努力。</w:t>
      </w:r>
    </w:p>
    <w:p w14:paraId="2EDB2E56">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4.能力培养的目标</w:t>
      </w:r>
    </w:p>
    <w:p w14:paraId="298D7315">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具体的能力培养目标应通过国外申办者与东道国、地区或机构的对话和协商来决定和完成。例如：</w:t>
      </w:r>
    </w:p>
    <w:p w14:paraId="3284BE4D">
      <w:pPr>
        <w:pStyle w:val="32"/>
        <w:numPr>
          <w:ilvl w:val="0"/>
          <w:numId w:val="23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国外申办者可能要雇用，必要时，训练当地的人作为研究者、研究助理或数据管理员。</w:t>
      </w:r>
    </w:p>
    <w:p w14:paraId="2985695D">
      <w:pPr>
        <w:pStyle w:val="32"/>
        <w:numPr>
          <w:ilvl w:val="0"/>
          <w:numId w:val="23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根据需要为能力培养提供适当的财务、教育和其他帮助。</w:t>
      </w:r>
    </w:p>
    <w:p w14:paraId="7E27E302">
      <w:pPr>
        <w:pStyle w:val="32"/>
        <w:numPr>
          <w:ilvl w:val="0"/>
          <w:numId w:val="233"/>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为避免利益冲突，保证伦理审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的独立性，经济资助不应直接提供给伦理委员会；资金应该提供给东道国的有关政府部门或伦理委员会所隶属的机构。</w:t>
      </w:r>
    </w:p>
    <w:p w14:paraId="5B3CB5D7">
      <w:pPr>
        <w:pStyle w:val="32"/>
        <w:spacing w:after="0" w:line="240" w:lineRule="auto"/>
        <w:rPr>
          <w:rStyle w:val="14"/>
          <w:rFonts w:ascii="宋体" w:hAnsi="宋体" w:eastAsia="宋体" w:cs="宋体"/>
          <w:sz w:val="21"/>
          <w:szCs w:val="21"/>
          <w:lang w:val="zh-CN"/>
        </w:rPr>
      </w:pPr>
    </w:p>
    <w:p w14:paraId="4318EB85">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附录1：人体生物医学研究方案(或相关文件）中包含的项目</w:t>
      </w:r>
    </w:p>
    <w:p w14:paraId="2E10352B">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研究题目。</w:t>
      </w:r>
    </w:p>
    <w:p w14:paraId="3ED48305">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通俗的</w:t>
      </w:r>
      <w:r>
        <w:rPr>
          <w:rStyle w:val="14"/>
          <w:rFonts w:hint="eastAsia" w:ascii="宋体" w:hAnsi="宋体" w:eastAsia="宋体" w:cs="宋体"/>
          <w:sz w:val="21"/>
          <w:szCs w:val="21"/>
        </w:rPr>
        <w:t>/</w:t>
      </w:r>
      <w:r>
        <w:rPr>
          <w:rStyle w:val="14"/>
          <w:rFonts w:hint="eastAsia" w:ascii="宋体" w:hAnsi="宋体" w:eastAsia="宋体" w:cs="宋体"/>
          <w:sz w:val="21"/>
          <w:szCs w:val="21"/>
          <w:lang w:val="zh-CN"/>
        </w:rPr>
        <w:t>非技术用语的研究方案摘要。</w:t>
      </w:r>
    </w:p>
    <w:p w14:paraId="79B32CD5">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清晰陈述研究的合理性，对研究实施所在国的发展以及满足其人民需求的意义。</w:t>
      </w:r>
    </w:p>
    <w:p w14:paraId="69CBD54C">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研究者对研究伦理问题的考虑，如果可能，打算如何处理。</w:t>
      </w:r>
    </w:p>
    <w:p w14:paraId="4BC2B06E">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以前所有有关该研究主题的摘要，包括研究者和申办者知道的未发表的研究，和以前已发表的该主题的研究信息，包括性质、范围和相关的动物实验，以及其他临床前与临床研究。</w:t>
      </w:r>
    </w:p>
    <w:p w14:paraId="06F7546A">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执行国际伦理指南原则的声明。</w:t>
      </w:r>
    </w:p>
    <w:p w14:paraId="596E21ED">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以前提交伦理审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的方案和审查结果的说明。</w:t>
      </w:r>
    </w:p>
    <w:p w14:paraId="71185C82">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研究实施地点的简要描述，包括安全、正确地进行研究所需足够设施的信息，所在国家或地区的相关人口统计与流行病学的信息。</w:t>
      </w:r>
    </w:p>
    <w:p w14:paraId="4EA1D825">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申办者的名称和地址。</w:t>
      </w:r>
    </w:p>
    <w:p w14:paraId="31EDD317">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主要研究者和其他研究者的姓名，地址，隶属机构，资格和经验。</w:t>
      </w:r>
    </w:p>
    <w:p w14:paraId="0BC7F66B">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研究的目标，它的假说或探讨的问题、假设和可变因素。</w:t>
      </w:r>
    </w:p>
    <w:p w14:paraId="11453147">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研究设计的详细描述。关于对照试验描述应包括（但不限于），各处理组的分配是否随机化（包括随机化的方法），以及研究是盲法的（单盲、双盲）还是开放的。</w:t>
      </w:r>
    </w:p>
    <w:p w14:paraId="2680326F">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完成研究目标所需的试验参与者人数、统计学上是如何计算的。</w:t>
      </w:r>
    </w:p>
    <w:p w14:paraId="1F1B844C">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试验参与者纳入或排除标准，根据年龄、性别、社会或经济因素、或其他理由排除任何人群的理由。</w:t>
      </w:r>
    </w:p>
    <w:p w14:paraId="7DAF2562">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知情同意能力试验参与者、或社会弱势人群的成员作为试验参与者的理由，以及对这些试验参与者采取的使风险和不适最小化的特别措施的说明。</w:t>
      </w:r>
    </w:p>
    <w:p w14:paraId="433A0F45">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招募试验参与者的步骤，招募广告，以及在招募期间采取的保护隐私和机密的措施。</w:t>
      </w:r>
    </w:p>
    <w:p w14:paraId="2568AED9">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所有干预措施（治疗给药方法，包括所用的研究药物和对照药物的给药途径、剂量、给药间隔和疗程）的描述和解释。</w:t>
      </w:r>
    </w:p>
    <w:p w14:paraId="3C087A12">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研究过程中排除或不给予标准治疗的计划和理由，包括对试验参与者产生的任何风险。</w:t>
      </w:r>
    </w:p>
    <w:p w14:paraId="2C3FEA12">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在研究期间可能给予的或容许给予的，或禁忌的任何其他治疗。</w:t>
      </w:r>
    </w:p>
    <w:p w14:paraId="2B036CBD">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准备做的临床、实验室和其他检查。</w:t>
      </w:r>
    </w:p>
    <w:p w14:paraId="3D6F4AFA">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所用的标准病例报告表样本，治疗反应的记录方法（描述和评价方法，频度测量法），随访计划，以及如果适用，检测试验参与者对治疗依从程度的方法。</w:t>
      </w:r>
    </w:p>
    <w:p w14:paraId="719C3B20">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从研究或临床试验中剔除试验参与者，或（在多中心研究中）中止一个中心的研究、或中止整个研究的规则或标准。</w:t>
      </w:r>
    </w:p>
    <w:p w14:paraId="11952075">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记录和报告不良事件或不良反应的方法，以及处理并发症的规定。</w:t>
      </w:r>
    </w:p>
    <w:p w14:paraId="210AD64A">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已知的或可预见的不良反应的风险，包括每项提议的干预措施、任何试验药品、疫苗或治疗程序所伴随的风险。</w:t>
      </w:r>
    </w:p>
    <w:p w14:paraId="37CB87AF">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对于超过极少人身伤害风险的研究，对身体伤害提供治疗（包括治疗资金）、与研究有关的残疾或死亡提供赔偿的详细计划，包括保险责任范围。</w:t>
      </w:r>
    </w:p>
    <w:p w14:paraId="16212443">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研究结束后继续为试验参与者提供研究证明有益的的预防、诊断和治疗方法，或提供其他适当的治疗方法，说明提供方式、负责支付费用的个人或组织，以及提供多长时间。</w:t>
      </w:r>
    </w:p>
    <w:p w14:paraId="1078D018">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涉及孕妇的研究，如果合适，对怀孕后结果，关于妇女健康和孩子近期及远期健康的检测计划。</w:t>
      </w:r>
    </w:p>
    <w:p w14:paraId="05D3F393">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研究对试验参与者与其他人的潜在受益。</w:t>
      </w:r>
    </w:p>
    <w:p w14:paraId="2F34137D">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研究对总体人群预期的受益，包括研究可能产生的新知识。</w:t>
      </w:r>
    </w:p>
    <w:p w14:paraId="7BDC6804">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打算用来获取个体知情同意的方法，向可能的试验参与对象传递信息的程序，包括负责获取知情同意者的姓名和身份。</w:t>
      </w:r>
    </w:p>
    <w:p w14:paraId="518F57D7">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当一个可能的试验参与对象不能给予知情同意时，应保证获得其</w:t>
      </w:r>
      <w:r>
        <w:rPr>
          <w:rStyle w:val="14"/>
          <w:rFonts w:hint="eastAsia" w:hAnsi="宋体" w:eastAsia="宋体" w:cs="宋体"/>
          <w:sz w:val="21"/>
          <w:szCs w:val="21"/>
        </w:rPr>
        <w:t>法定代理人</w:t>
      </w:r>
      <w:r>
        <w:rPr>
          <w:rStyle w:val="14"/>
          <w:rFonts w:hint="eastAsia" w:ascii="宋体" w:hAnsi="宋体" w:eastAsia="宋体" w:cs="宋体"/>
          <w:sz w:val="21"/>
          <w:szCs w:val="21"/>
          <w:lang w:val="zh-CN"/>
        </w:rPr>
        <w:t>的同意。当</w:t>
      </w:r>
      <w:r>
        <w:rPr>
          <w:rStyle w:val="14"/>
          <w:rFonts w:hint="eastAsia" w:ascii="宋体" w:hAnsi="宋体" w:eastAsia="宋体" w:cs="宋体"/>
          <w:sz w:val="21"/>
          <w:szCs w:val="21"/>
        </w:rPr>
        <w:t>未成年人</w:t>
      </w:r>
      <w:r>
        <w:rPr>
          <w:rStyle w:val="14"/>
          <w:rFonts w:hint="eastAsia" w:ascii="宋体" w:hAnsi="宋体" w:eastAsia="宋体" w:cs="宋体"/>
          <w:sz w:val="21"/>
          <w:szCs w:val="21"/>
          <w:lang w:val="zh-CN"/>
        </w:rPr>
        <w:t>足够成熟，能够理解知情同意的含意但尚未达到给予同意的法定年龄情况下，要获得未成年人本人的知情同意或赞同，还要有其父母、或法定代理人的同意。</w:t>
      </w:r>
    </w:p>
    <w:p w14:paraId="0329ACA6">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向试验参与者提供参加研究的任何经济的或其他劝诱或激励措施的说明，如提供现金、礼物、或免费的服务或设施，以及任何由试验参与者承担的财务责任，如支付医疗费。</w:t>
      </w:r>
    </w:p>
    <w:p w14:paraId="70D1121A">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将研究或其他相同主题研究中产生的、可能影响试验参与者继续参加研究意愿的信息(如关于伤害或受益、告知试验参与者的计划、程序和负责的人。</w:t>
      </w:r>
    </w:p>
    <w:p w14:paraId="1FB05953">
      <w:pPr>
        <w:pStyle w:val="32"/>
        <w:numPr>
          <w:ilvl w:val="0"/>
          <w:numId w:val="232"/>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通知试验参与者研究结果的计划。</w:t>
      </w:r>
    </w:p>
    <w:p w14:paraId="4B5F8285">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关于保守个人数据机密和尊重试验参与者隐私的规定，包括在没有试验参与者同意的情况下防止将研究中获得的试验参与者遗传信息泄露给其直系亲属的预防措施。</w:t>
      </w:r>
    </w:p>
    <w:p w14:paraId="2A1EF917">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关于试验参与者身份编码（如有）是如何建立的，编码保存的地点，以及在紧急情况下，何时、如何、由何人才能解开编码的信息。</w:t>
      </w:r>
    </w:p>
    <w:p w14:paraId="0146B9DB">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个人数据或生物材料的任何可预见的进一步利用。</w:t>
      </w:r>
    </w:p>
    <w:p w14:paraId="1154B983">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研究统计分析计划的描述，包括中期分析计划（如有、以及必要时提前中止整个研究的标准。</w:t>
      </w:r>
    </w:p>
    <w:p w14:paraId="7A5D9DD8">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持续性监测研究或试验药物或其他干预措施的安全性的计划，如果合适，任命一个独立的数据和安全监察委员会。</w:t>
      </w:r>
    </w:p>
    <w:p w14:paraId="747D6934">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方案中引用的参考文献列表。</w:t>
      </w:r>
    </w:p>
    <w:p w14:paraId="0A39F08C">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研究资金的来源和数量：申办研究的组织，向研究机构、研究者、试验参与者和社区(有关时）承付款项的明细账目。</w:t>
      </w:r>
    </w:p>
    <w:p w14:paraId="6BCDD9B0">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对可能影响研究者或其他研究人员判断的财务或其他利益冲突的处理方案： 将这类利益冲突通知机构的利益冲突委员会；由该委员会向伦理委员会传递信息的有关详情；再由该委员会向试验参与者传达所做决定中应告知试验参与者的信息部分。</w:t>
      </w:r>
    </w:p>
    <w:p w14:paraId="532522EE">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完成研究的时间表。</w:t>
      </w:r>
    </w:p>
    <w:p w14:paraId="52B9F72D">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在发展中国家或社会进行的研究，申办者对东道国的科学和伦理审查以及生物医学研究能力培养所起的促进作用，并保证能力培养的目标符合试验参与者及其社会的价值观和期望值。</w:t>
      </w:r>
    </w:p>
    <w:p w14:paraId="434C56B5">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尤其对企业申办者而言，应合同规定谁拥有发表研究结果的权力，并强制规定报告研究结果的文稿要与主要研究者一起准备、并服从主要研究者的意见。</w:t>
      </w:r>
    </w:p>
    <w:p w14:paraId="62A74407">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在阴性结果的情况下，通过公开发表或向药品注册管理当局报告的途径，以保证公众可以得到这类结果。</w:t>
      </w:r>
    </w:p>
    <w:p w14:paraId="45E9BE6C">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可能被认为不适合发表研究发现的情况，如流行病学、社会学或遗传学研究的发现可能对社会、或人群、或以种族或民族定义的群体的利益带来风险。</w:t>
      </w:r>
    </w:p>
    <w:p w14:paraId="333B1512">
      <w:pPr>
        <w:pStyle w:val="32"/>
        <w:numPr>
          <w:ilvl w:val="0"/>
          <w:numId w:val="234"/>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声明：发现任何数据弄虚作假的证据，将根据有关规定，采取适当的措施予以处理，阻止这种不可接受的做法。</w:t>
      </w:r>
    </w:p>
    <w:p w14:paraId="7CA4133A">
      <w:pPr>
        <w:pStyle w:val="32"/>
        <w:spacing w:after="0" w:line="240" w:lineRule="auto"/>
        <w:rPr>
          <w:rStyle w:val="14"/>
          <w:rFonts w:ascii="宋体" w:hAnsi="宋体" w:eastAsia="宋体" w:cs="宋体"/>
          <w:sz w:val="21"/>
          <w:szCs w:val="21"/>
          <w:lang w:val="zh-CN"/>
        </w:rPr>
      </w:pPr>
    </w:p>
    <w:p w14:paraId="3D82810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附录2：医疗器械临床试验的管理规定</w:t>
      </w:r>
    </w:p>
    <w:p w14:paraId="529D6F44">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1.医疗器械的分类</w:t>
      </w:r>
    </w:p>
    <w:p w14:paraId="7CC26F99">
      <w:pPr>
        <w:pStyle w:val="32"/>
        <w:numPr>
          <w:ilvl w:val="0"/>
          <w:numId w:val="23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第一类：通过常规管理足以保证其安全性、有效性的医疗器械。</w:t>
      </w:r>
    </w:p>
    <w:p w14:paraId="4A403000">
      <w:pPr>
        <w:pStyle w:val="32"/>
        <w:numPr>
          <w:ilvl w:val="0"/>
          <w:numId w:val="23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第二类：对其安全性、有效性应当加以控制的医疗器械。</w:t>
      </w:r>
    </w:p>
    <w:p w14:paraId="1B7E4DBD">
      <w:pPr>
        <w:pStyle w:val="32"/>
        <w:numPr>
          <w:ilvl w:val="0"/>
          <w:numId w:val="235"/>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第三类：植入人体；用于支持、维持生命；对人体具有潜在危险，对其安全性、有效性必须严格控制的医疗器械。</w:t>
      </w:r>
    </w:p>
    <w:p w14:paraId="5779080D">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2.医疗器械临床试验的分类</w:t>
      </w:r>
    </w:p>
    <w:p w14:paraId="5936C3FF">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医疗器械临床试验分为：医疗器械临床试用和医疗器械临床验证。</w:t>
      </w:r>
    </w:p>
    <w:p w14:paraId="2509EF58">
      <w:pPr>
        <w:pStyle w:val="32"/>
        <w:numPr>
          <w:ilvl w:val="0"/>
          <w:numId w:val="23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临床试用：</w:t>
      </w:r>
    </w:p>
    <w:p w14:paraId="092FD76B">
      <w:pPr>
        <w:pStyle w:val="32"/>
        <w:numPr>
          <w:ilvl w:val="0"/>
          <w:numId w:val="23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是指通过临床使用来验证该医疗器械理论原理、基本结构、性能等要素能否保证安全性有效性。</w:t>
      </w:r>
    </w:p>
    <w:p w14:paraId="0B67CC30">
      <w:pPr>
        <w:pStyle w:val="32"/>
        <w:numPr>
          <w:ilvl w:val="0"/>
          <w:numId w:val="237"/>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医疗器械临床试用的范围：市场上尚未出现过，安全性、有效性有待确认的医疗器械。</w:t>
      </w:r>
    </w:p>
    <w:p w14:paraId="2810F646">
      <w:pPr>
        <w:pStyle w:val="32"/>
        <w:numPr>
          <w:ilvl w:val="0"/>
          <w:numId w:val="23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临床验证</w:t>
      </w:r>
    </w:p>
    <w:p w14:paraId="2DC4B50C">
      <w:pPr>
        <w:pStyle w:val="32"/>
        <w:numPr>
          <w:ilvl w:val="0"/>
          <w:numId w:val="23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是指通过临床使用来验证该医疗器械与已上市产品的主要结构、性能等要素是否实质性等同，是否具有同样的安全性、有效性。</w:t>
      </w:r>
    </w:p>
    <w:p w14:paraId="6E624A20">
      <w:pPr>
        <w:pStyle w:val="32"/>
        <w:numPr>
          <w:ilvl w:val="0"/>
          <w:numId w:val="238"/>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医疗器械临床验证的范围：同类产品已上市，其安全性、有效性需要进一步确认的医疗器械。</w:t>
      </w:r>
    </w:p>
    <w:p w14:paraId="4BC29361">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3.医疗器械的管理</w:t>
      </w:r>
    </w:p>
    <w:p w14:paraId="029CBD7E">
      <w:pPr>
        <w:pStyle w:val="32"/>
        <w:numPr>
          <w:ilvl w:val="0"/>
          <w:numId w:val="23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生产第一类医疗器械，无需临床试验，由设区的市级人民政府药品监督管理部门</w:t>
      </w:r>
    </w:p>
    <w:p w14:paraId="521E48AA">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审查批准，并发给产品生产注册证书。</w:t>
      </w:r>
    </w:p>
    <w:p w14:paraId="6ED67CF2">
      <w:pPr>
        <w:pStyle w:val="32"/>
        <w:numPr>
          <w:ilvl w:val="0"/>
          <w:numId w:val="23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生产第二类、第三类医疗器械，应当通过临床试用或临床验证，然后经过省、自治区、直辖市或国务院药品监督管理部门审</w:t>
      </w:r>
      <w:r>
        <w:rPr>
          <w:rStyle w:val="14"/>
          <w:rFonts w:hint="eastAsia" w:hAnsi="宋体" w:eastAsia="宋体" w:cs="宋体"/>
          <w:sz w:val="21"/>
          <w:szCs w:val="21"/>
          <w:lang w:val="zh-CN"/>
        </w:rPr>
        <w:t>查</w:t>
      </w:r>
      <w:r>
        <w:rPr>
          <w:rStyle w:val="14"/>
          <w:rFonts w:hint="eastAsia" w:ascii="宋体" w:hAnsi="宋体" w:eastAsia="宋体" w:cs="宋体"/>
          <w:sz w:val="21"/>
          <w:szCs w:val="21"/>
          <w:lang w:val="zh-CN"/>
        </w:rPr>
        <w:t>批准，发给产品生产注册证书。</w:t>
      </w:r>
    </w:p>
    <w:p w14:paraId="358442EE">
      <w:pPr>
        <w:pStyle w:val="32"/>
        <w:numPr>
          <w:ilvl w:val="0"/>
          <w:numId w:val="23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省、自治区、直辖市人民政府药品监督管理部门负责审批本行政区域内的第二类医疗器械的临床试用或者临床验证。</w:t>
      </w:r>
    </w:p>
    <w:p w14:paraId="2E087768">
      <w:pPr>
        <w:pStyle w:val="32"/>
        <w:numPr>
          <w:ilvl w:val="0"/>
          <w:numId w:val="236"/>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国务院药品监督管理部门负责审批第三类医疗器械的临床试用或者临床验证。</w:t>
      </w:r>
    </w:p>
    <w:p w14:paraId="15D9AD8C">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4.医疗器械临床试验的前提条件</w:t>
      </w:r>
    </w:p>
    <w:p w14:paraId="5AE38263">
      <w:pPr>
        <w:pStyle w:val="32"/>
        <w:numPr>
          <w:ilvl w:val="0"/>
          <w:numId w:val="23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该产品具有复核通过的注册产品标准或相应的国家、行业标准。</w:t>
      </w:r>
    </w:p>
    <w:p w14:paraId="650E0873">
      <w:pPr>
        <w:pStyle w:val="32"/>
        <w:numPr>
          <w:ilvl w:val="0"/>
          <w:numId w:val="23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该产品具有自测报告。</w:t>
      </w:r>
    </w:p>
    <w:p w14:paraId="6667009D">
      <w:pPr>
        <w:pStyle w:val="32"/>
        <w:numPr>
          <w:ilvl w:val="0"/>
          <w:numId w:val="23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该产品具有国务院食品药品监督管理部门会同国务院质量技术监督部门认可的检测机构出具的产品型式试验报告，且结论为合格。</w:t>
      </w:r>
    </w:p>
    <w:p w14:paraId="188F62E6">
      <w:pPr>
        <w:pStyle w:val="32"/>
        <w:numPr>
          <w:ilvl w:val="0"/>
          <w:numId w:val="239"/>
        </w:numPr>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受试产品为首次用于植入人体的医疗器械，应当具有该产品的动物试验报告。其他需要由动物试验确认产品对人体临床试验安全性的产品，也应当提交动物试验报告。</w:t>
      </w:r>
    </w:p>
    <w:p w14:paraId="4FD1DF8E">
      <w:pPr>
        <w:pStyle w:val="32"/>
        <w:spacing w:after="0" w:line="240" w:lineRule="auto"/>
        <w:rPr>
          <w:rStyle w:val="14"/>
          <w:rFonts w:ascii="宋体" w:hAnsi="宋体" w:eastAsia="宋体" w:cs="宋体"/>
          <w:sz w:val="21"/>
          <w:szCs w:val="21"/>
          <w:lang w:val="zh-CN"/>
        </w:rPr>
      </w:pPr>
      <w:r>
        <w:rPr>
          <w:rStyle w:val="14"/>
          <w:rFonts w:hint="eastAsia" w:ascii="宋体" w:hAnsi="宋体" w:eastAsia="宋体" w:cs="宋体"/>
          <w:sz w:val="21"/>
          <w:szCs w:val="21"/>
          <w:lang w:val="zh-CN"/>
        </w:rPr>
        <w:t>参考文献：</w:t>
      </w:r>
    </w:p>
    <w:p w14:paraId="417A27CC">
      <w:pPr>
        <w:pStyle w:val="32"/>
        <w:spacing w:after="0" w:line="240" w:lineRule="auto"/>
        <w:rPr>
          <w:rStyle w:val="14"/>
          <w:rFonts w:asciiTheme="minorEastAsia" w:hAnsiTheme="minorEastAsia" w:eastAsiaTheme="minorEastAsia" w:cstheme="minorEastAsia"/>
          <w:sz w:val="21"/>
          <w:szCs w:val="21"/>
        </w:rPr>
      </w:pPr>
      <w:r>
        <w:rPr>
          <w:rStyle w:val="14"/>
          <w:rFonts w:hint="eastAsia" w:asciiTheme="minorEastAsia" w:hAnsiTheme="minorEastAsia" w:eastAsiaTheme="minorEastAsia" w:cstheme="minorEastAsia"/>
          <w:sz w:val="21"/>
          <w:szCs w:val="21"/>
          <w:lang w:val="zh-CN"/>
        </w:rPr>
        <w:t>1.《中华人民共和国药品管理法》，20</w:t>
      </w:r>
      <w:r>
        <w:rPr>
          <w:rStyle w:val="14"/>
          <w:rFonts w:hint="eastAsia" w:asciiTheme="minorEastAsia" w:hAnsiTheme="minorEastAsia" w:eastAsiaTheme="minorEastAsia" w:cstheme="minorEastAsia"/>
          <w:sz w:val="21"/>
          <w:szCs w:val="21"/>
        </w:rPr>
        <w:t>19</w:t>
      </w:r>
    </w:p>
    <w:p w14:paraId="06559574">
      <w:pPr>
        <w:pStyle w:val="32"/>
        <w:spacing w:after="0" w:line="240" w:lineRule="auto"/>
        <w:rPr>
          <w:rStyle w:val="14"/>
          <w:rFonts w:asciiTheme="minorEastAsia" w:hAnsiTheme="minorEastAsia" w:eastAsiaTheme="minorEastAsia" w:cstheme="minorEastAsia"/>
          <w:sz w:val="21"/>
          <w:szCs w:val="21"/>
        </w:rPr>
      </w:pPr>
      <w:r>
        <w:rPr>
          <w:rStyle w:val="14"/>
          <w:rFonts w:hint="eastAsia" w:asciiTheme="minorEastAsia" w:hAnsiTheme="minorEastAsia" w:eastAsiaTheme="minorEastAsia" w:cstheme="minorEastAsia"/>
          <w:sz w:val="21"/>
          <w:szCs w:val="21"/>
        </w:rPr>
        <w:t>2</w:t>
      </w:r>
      <w:r>
        <w:rPr>
          <w:rStyle w:val="14"/>
          <w:rFonts w:hint="eastAsia" w:asciiTheme="minorEastAsia" w:hAnsiTheme="minorEastAsia" w:eastAsiaTheme="minorEastAsia" w:cstheme="minorEastAsia"/>
          <w:sz w:val="21"/>
          <w:szCs w:val="21"/>
          <w:lang w:val="zh-CN"/>
        </w:rPr>
        <w:t>.《涉及人的生物医学研究伦理审查办法》，20</w:t>
      </w:r>
      <w:r>
        <w:rPr>
          <w:rStyle w:val="14"/>
          <w:rFonts w:hint="eastAsia" w:asciiTheme="minorEastAsia" w:hAnsiTheme="minorEastAsia" w:eastAsiaTheme="minorEastAsia" w:cstheme="minorEastAsia"/>
          <w:sz w:val="21"/>
          <w:szCs w:val="21"/>
        </w:rPr>
        <w:t>16</w:t>
      </w:r>
    </w:p>
    <w:p w14:paraId="1C533C8A">
      <w:pPr>
        <w:pStyle w:val="32"/>
        <w:spacing w:after="0" w:line="240" w:lineRule="auto"/>
        <w:rPr>
          <w:rStyle w:val="14"/>
          <w:rFonts w:asciiTheme="minorEastAsia" w:hAnsiTheme="minorEastAsia" w:eastAsiaTheme="minorEastAsia" w:cstheme="minorEastAsia"/>
          <w:sz w:val="21"/>
          <w:szCs w:val="21"/>
        </w:rPr>
      </w:pPr>
      <w:r>
        <w:rPr>
          <w:rStyle w:val="14"/>
          <w:rFonts w:hint="eastAsia" w:asciiTheme="minorEastAsia" w:hAnsiTheme="minorEastAsia" w:eastAsiaTheme="minorEastAsia" w:cstheme="minorEastAsia"/>
          <w:sz w:val="21"/>
          <w:szCs w:val="21"/>
          <w:lang w:val="zh-CN"/>
        </w:rPr>
        <w:t>3．《</w:t>
      </w:r>
      <w:r>
        <w:rPr>
          <w:rStyle w:val="14"/>
          <w:rFonts w:hint="eastAsia" w:asciiTheme="minorEastAsia" w:hAnsiTheme="minorEastAsia" w:eastAsiaTheme="minorEastAsia" w:cstheme="minorEastAsia"/>
          <w:sz w:val="21"/>
          <w:szCs w:val="21"/>
        </w:rPr>
        <w:t>涉及人的生命科学和医学研究伦理审查办法</w:t>
      </w:r>
      <w:r>
        <w:rPr>
          <w:rStyle w:val="14"/>
          <w:rFonts w:hint="eastAsia" w:asciiTheme="minorEastAsia" w:hAnsiTheme="minorEastAsia" w:eastAsiaTheme="minorEastAsia" w:cstheme="minorEastAsia"/>
          <w:sz w:val="21"/>
          <w:szCs w:val="21"/>
          <w:lang w:val="zh-CN"/>
        </w:rPr>
        <w:t>》，</w:t>
      </w:r>
      <w:r>
        <w:rPr>
          <w:rStyle w:val="14"/>
          <w:rFonts w:hint="eastAsia" w:asciiTheme="minorEastAsia" w:hAnsiTheme="minorEastAsia" w:eastAsiaTheme="minorEastAsia" w:cstheme="minorEastAsia"/>
          <w:sz w:val="21"/>
          <w:szCs w:val="21"/>
        </w:rPr>
        <w:t>2023</w:t>
      </w:r>
    </w:p>
    <w:p w14:paraId="404632DB">
      <w:pPr>
        <w:pStyle w:val="32"/>
        <w:spacing w:after="0" w:line="240" w:lineRule="auto"/>
        <w:rPr>
          <w:rStyle w:val="14"/>
          <w:rFonts w:asciiTheme="minorEastAsia" w:hAnsiTheme="minorEastAsia" w:eastAsiaTheme="minorEastAsia" w:cstheme="minorEastAsia"/>
          <w:sz w:val="21"/>
          <w:szCs w:val="21"/>
        </w:rPr>
      </w:pPr>
      <w:r>
        <w:rPr>
          <w:rStyle w:val="14"/>
          <w:rFonts w:hint="eastAsia" w:asciiTheme="minorEastAsia" w:hAnsiTheme="minorEastAsia" w:eastAsiaTheme="minorEastAsia" w:cstheme="minorEastAsia"/>
          <w:sz w:val="21"/>
          <w:szCs w:val="21"/>
        </w:rPr>
        <w:t xml:space="preserve">4. </w:t>
      </w:r>
      <w:r>
        <w:rPr>
          <w:rStyle w:val="14"/>
          <w:rFonts w:hint="eastAsia" w:asciiTheme="minorEastAsia" w:hAnsiTheme="minorEastAsia" w:eastAsiaTheme="minorEastAsia" w:cstheme="minorEastAsia"/>
          <w:sz w:val="21"/>
          <w:szCs w:val="21"/>
          <w:lang w:val="zh-CN"/>
        </w:rPr>
        <w:t>《</w:t>
      </w:r>
      <w:r>
        <w:rPr>
          <w:rStyle w:val="14"/>
          <w:rFonts w:hint="eastAsia" w:asciiTheme="minorEastAsia" w:hAnsiTheme="minorEastAsia" w:eastAsiaTheme="minorEastAsia" w:cstheme="minorEastAsia"/>
          <w:sz w:val="21"/>
          <w:szCs w:val="21"/>
        </w:rPr>
        <w:t>药物</w:t>
      </w:r>
      <w:r>
        <w:rPr>
          <w:rStyle w:val="14"/>
          <w:rFonts w:hint="eastAsia" w:asciiTheme="minorEastAsia" w:hAnsiTheme="minorEastAsia" w:eastAsiaTheme="minorEastAsia" w:cstheme="minorEastAsia"/>
          <w:sz w:val="21"/>
          <w:szCs w:val="21"/>
          <w:lang w:val="zh-CN"/>
        </w:rPr>
        <w:t>临床试验</w:t>
      </w:r>
      <w:r>
        <w:rPr>
          <w:rStyle w:val="14"/>
          <w:rFonts w:hint="eastAsia" w:asciiTheme="minorEastAsia" w:hAnsiTheme="minorEastAsia" w:eastAsiaTheme="minorEastAsia" w:cstheme="minorEastAsia"/>
          <w:sz w:val="21"/>
          <w:szCs w:val="21"/>
        </w:rPr>
        <w:t>质量</w:t>
      </w:r>
      <w:r>
        <w:rPr>
          <w:rStyle w:val="14"/>
          <w:rFonts w:hint="eastAsia" w:asciiTheme="minorEastAsia" w:hAnsiTheme="minorEastAsia" w:eastAsiaTheme="minorEastAsia" w:cstheme="minorEastAsia"/>
          <w:sz w:val="21"/>
          <w:szCs w:val="21"/>
          <w:lang w:val="zh-CN"/>
        </w:rPr>
        <w:t>管理规范》，</w:t>
      </w:r>
      <w:r>
        <w:rPr>
          <w:rStyle w:val="14"/>
          <w:rFonts w:hint="eastAsia" w:asciiTheme="minorEastAsia" w:hAnsiTheme="minorEastAsia" w:eastAsiaTheme="minorEastAsia" w:cstheme="minorEastAsia"/>
          <w:sz w:val="21"/>
          <w:szCs w:val="21"/>
        </w:rPr>
        <w:t>202</w:t>
      </w:r>
      <w:r>
        <w:rPr>
          <w:rStyle w:val="14"/>
          <w:rFonts w:asciiTheme="minorEastAsia" w:hAnsiTheme="minorEastAsia" w:eastAsiaTheme="minorEastAsia" w:cstheme="minorEastAsia"/>
          <w:sz w:val="21"/>
          <w:szCs w:val="21"/>
        </w:rPr>
        <w:t>6</w:t>
      </w:r>
    </w:p>
    <w:p w14:paraId="6019C24A">
      <w:pPr>
        <w:pStyle w:val="32"/>
        <w:spacing w:after="0" w:line="240" w:lineRule="auto"/>
        <w:rPr>
          <w:rStyle w:val="11"/>
          <w:rFonts w:asciiTheme="minorEastAsia" w:hAnsiTheme="minorEastAsia" w:eastAsiaTheme="minorEastAsia" w:cstheme="minorEastAsia"/>
          <w:bCs/>
          <w:sz w:val="21"/>
          <w:szCs w:val="21"/>
        </w:rPr>
      </w:pPr>
      <w:r>
        <w:rPr>
          <w:rStyle w:val="14"/>
          <w:rFonts w:hint="eastAsia" w:asciiTheme="minorEastAsia" w:hAnsiTheme="minorEastAsia" w:eastAsiaTheme="minorEastAsia" w:cstheme="minorEastAsia"/>
          <w:sz w:val="21"/>
          <w:szCs w:val="21"/>
        </w:rPr>
        <w:t>5</w:t>
      </w:r>
      <w:r>
        <w:rPr>
          <w:rStyle w:val="14"/>
          <w:rFonts w:hint="eastAsia" w:asciiTheme="minorEastAsia" w:hAnsiTheme="minorEastAsia" w:eastAsiaTheme="minorEastAsia" w:cstheme="minorEastAsia"/>
          <w:sz w:val="21"/>
          <w:szCs w:val="21"/>
          <w:lang w:val="zh-CN"/>
        </w:rPr>
        <w:t>．</w:t>
      </w:r>
      <w:r>
        <w:rPr>
          <w:rStyle w:val="11"/>
          <w:rFonts w:hint="eastAsia" w:asciiTheme="minorEastAsia" w:hAnsiTheme="minorEastAsia" w:eastAsiaTheme="minorEastAsia" w:cstheme="minorEastAsia"/>
          <w:bCs/>
          <w:sz w:val="21"/>
          <w:szCs w:val="21"/>
        </w:rPr>
        <w:t>《器械临床试验质量管理规范》，2022</w:t>
      </w:r>
    </w:p>
    <w:p w14:paraId="573F7CB4">
      <w:pPr>
        <w:pStyle w:val="32"/>
        <w:spacing w:after="0" w:line="240" w:lineRule="auto"/>
        <w:rPr>
          <w:rStyle w:val="11"/>
          <w:rFonts w:asciiTheme="minorEastAsia" w:hAnsiTheme="minorEastAsia" w:eastAsiaTheme="minorEastAsia" w:cstheme="minorEastAsia"/>
          <w:bCs/>
          <w:spacing w:val="-20"/>
          <w:sz w:val="21"/>
          <w:szCs w:val="21"/>
        </w:rPr>
      </w:pPr>
      <w:r>
        <w:rPr>
          <w:rStyle w:val="11"/>
          <w:rFonts w:hint="eastAsia" w:asciiTheme="minorEastAsia" w:hAnsiTheme="minorEastAsia" w:eastAsiaTheme="minorEastAsia" w:cstheme="minorEastAsia"/>
          <w:bCs/>
          <w:sz w:val="21"/>
          <w:szCs w:val="21"/>
        </w:rPr>
        <w:t xml:space="preserve">6. </w:t>
      </w:r>
      <w:r>
        <w:rPr>
          <w:rStyle w:val="11"/>
          <w:rFonts w:hint="eastAsia" w:asciiTheme="minorEastAsia" w:hAnsiTheme="minorEastAsia" w:eastAsiaTheme="minorEastAsia" w:cstheme="minorEastAsia"/>
          <w:bCs/>
          <w:spacing w:val="-20"/>
          <w:sz w:val="21"/>
          <w:szCs w:val="21"/>
        </w:rPr>
        <w:t>《医疗卫生机构开展研究者发起的临床研究管理办法》，2024</w:t>
      </w:r>
    </w:p>
    <w:p w14:paraId="399FEDD7">
      <w:pPr>
        <w:pStyle w:val="32"/>
        <w:spacing w:after="0" w:line="240" w:lineRule="auto"/>
        <w:rPr>
          <w:rStyle w:val="14"/>
          <w:rFonts w:asciiTheme="minorEastAsia" w:hAnsiTheme="minorEastAsia" w:eastAsiaTheme="minorEastAsia" w:cstheme="minorEastAsia"/>
          <w:sz w:val="21"/>
          <w:szCs w:val="21"/>
        </w:rPr>
      </w:pPr>
      <w:r>
        <w:rPr>
          <w:rStyle w:val="11"/>
          <w:rFonts w:hint="eastAsia" w:asciiTheme="minorEastAsia" w:hAnsiTheme="minorEastAsia" w:eastAsiaTheme="minorEastAsia" w:cstheme="minorEastAsia"/>
          <w:bCs/>
          <w:spacing w:val="-20"/>
          <w:sz w:val="21"/>
          <w:szCs w:val="21"/>
        </w:rPr>
        <w:t>7. 《科技伦理审查办法（试行）》，2023</w:t>
      </w:r>
    </w:p>
    <w:p w14:paraId="477432E3">
      <w:pPr>
        <w:pStyle w:val="32"/>
        <w:spacing w:after="0" w:line="240" w:lineRule="auto"/>
        <w:rPr>
          <w:rStyle w:val="14"/>
          <w:rFonts w:asciiTheme="minorEastAsia" w:hAnsiTheme="minorEastAsia" w:eastAsiaTheme="minorEastAsia" w:cstheme="minorEastAsia"/>
          <w:sz w:val="21"/>
          <w:szCs w:val="21"/>
          <w:lang w:val="zh-CN"/>
        </w:rPr>
      </w:pPr>
      <w:r>
        <w:rPr>
          <w:rStyle w:val="14"/>
          <w:rFonts w:hint="eastAsia" w:asciiTheme="minorEastAsia" w:hAnsiTheme="minorEastAsia" w:eastAsiaTheme="minorEastAsia" w:cstheme="minorEastAsia"/>
          <w:sz w:val="21"/>
          <w:szCs w:val="21"/>
        </w:rPr>
        <w:t xml:space="preserve">8. </w:t>
      </w:r>
      <w:r>
        <w:rPr>
          <w:rStyle w:val="14"/>
          <w:rFonts w:hint="eastAsia" w:asciiTheme="minorEastAsia" w:hAnsiTheme="minorEastAsia" w:eastAsiaTheme="minorEastAsia" w:cstheme="minorEastAsia"/>
          <w:sz w:val="21"/>
          <w:szCs w:val="21"/>
          <w:lang w:val="zh-CN"/>
        </w:rPr>
        <w:t>《药物临床试验伦理审查工作指导原则》，2010</w:t>
      </w:r>
    </w:p>
    <w:p w14:paraId="4FD109E0">
      <w:pPr>
        <w:pStyle w:val="32"/>
        <w:spacing w:after="0" w:line="240" w:lineRule="auto"/>
        <w:rPr>
          <w:rStyle w:val="14"/>
          <w:rFonts w:asciiTheme="minorEastAsia" w:hAnsiTheme="minorEastAsia" w:eastAsiaTheme="minorEastAsia" w:cstheme="minorEastAsia"/>
          <w:sz w:val="21"/>
          <w:szCs w:val="21"/>
        </w:rPr>
      </w:pPr>
      <w:r>
        <w:rPr>
          <w:rStyle w:val="14"/>
          <w:rFonts w:hint="eastAsia" w:asciiTheme="minorEastAsia" w:hAnsiTheme="minorEastAsia" w:eastAsiaTheme="minorEastAsia" w:cstheme="minorEastAsia"/>
          <w:sz w:val="21"/>
          <w:szCs w:val="21"/>
        </w:rPr>
        <w:t>9</w:t>
      </w:r>
      <w:r>
        <w:rPr>
          <w:rStyle w:val="14"/>
          <w:rFonts w:hint="eastAsia" w:asciiTheme="minorEastAsia" w:hAnsiTheme="minorEastAsia" w:eastAsiaTheme="minorEastAsia" w:cstheme="minorEastAsia"/>
          <w:sz w:val="21"/>
          <w:szCs w:val="21"/>
          <w:lang w:val="zh-CN"/>
        </w:rPr>
        <w:t>．《医疗器械监督管理条例》，20</w:t>
      </w:r>
      <w:r>
        <w:rPr>
          <w:rStyle w:val="14"/>
          <w:rFonts w:hint="eastAsia" w:asciiTheme="minorEastAsia" w:hAnsiTheme="minorEastAsia" w:eastAsiaTheme="minorEastAsia" w:cstheme="minorEastAsia"/>
          <w:sz w:val="21"/>
          <w:szCs w:val="21"/>
        </w:rPr>
        <w:t>21</w:t>
      </w:r>
    </w:p>
    <w:p w14:paraId="2174C74B">
      <w:pPr>
        <w:pStyle w:val="32"/>
        <w:spacing w:after="0" w:line="240" w:lineRule="auto"/>
        <w:rPr>
          <w:rStyle w:val="14"/>
          <w:rFonts w:asciiTheme="minorEastAsia" w:hAnsiTheme="minorEastAsia" w:eastAsiaTheme="minorEastAsia" w:cstheme="minorEastAsia"/>
          <w:sz w:val="21"/>
          <w:szCs w:val="21"/>
        </w:rPr>
      </w:pPr>
      <w:r>
        <w:rPr>
          <w:rStyle w:val="14"/>
          <w:rFonts w:hint="eastAsia" w:asciiTheme="minorEastAsia" w:hAnsiTheme="minorEastAsia" w:eastAsiaTheme="minorEastAsia" w:cstheme="minorEastAsia"/>
          <w:sz w:val="21"/>
          <w:szCs w:val="21"/>
        </w:rPr>
        <w:t xml:space="preserve">10．Delaration of Helsinki,Ethical Principles for Medical Research </w:t>
      </w:r>
    </w:p>
    <w:p w14:paraId="180E57D3">
      <w:pPr>
        <w:pStyle w:val="32"/>
        <w:spacing w:after="0" w:line="240" w:lineRule="auto"/>
        <w:rPr>
          <w:rStyle w:val="14"/>
          <w:rFonts w:asciiTheme="minorEastAsia" w:hAnsiTheme="minorEastAsia" w:eastAsiaTheme="minorEastAsia" w:cstheme="minorEastAsia"/>
          <w:sz w:val="21"/>
          <w:szCs w:val="21"/>
        </w:rPr>
      </w:pPr>
      <w:r>
        <w:rPr>
          <w:rStyle w:val="14"/>
          <w:rFonts w:hint="eastAsia" w:asciiTheme="minorEastAsia" w:hAnsiTheme="minorEastAsia" w:eastAsiaTheme="minorEastAsia" w:cstheme="minorEastAsia"/>
          <w:sz w:val="21"/>
          <w:szCs w:val="21"/>
        </w:rPr>
        <w:t>Involving Human Subjects,2024</w:t>
      </w:r>
    </w:p>
    <w:p w14:paraId="1DAB4226">
      <w:pPr>
        <w:pStyle w:val="32"/>
        <w:spacing w:after="0" w:line="240" w:lineRule="auto"/>
        <w:rPr>
          <w:rStyle w:val="14"/>
          <w:rFonts w:ascii="宋体" w:hAnsi="宋体" w:eastAsia="宋体" w:cs="宋体"/>
          <w:sz w:val="21"/>
          <w:szCs w:val="21"/>
        </w:rPr>
      </w:pPr>
      <w:r>
        <w:rPr>
          <w:rStyle w:val="14"/>
          <w:rFonts w:hint="eastAsia" w:asciiTheme="minorEastAsia" w:hAnsiTheme="minorEastAsia" w:eastAsiaTheme="minorEastAsia" w:cstheme="minorEastAsia"/>
          <w:sz w:val="21"/>
          <w:szCs w:val="21"/>
        </w:rPr>
        <w:t>11.CIOMS:International  Ethical  Guidelines  for Biomedical Research Involving  Human Subjecs,2016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43"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CF3C52" w:usb2="00000016" w:usb3="00000000" w:csb0="0004001F" w:csb1="00000000"/>
  </w:font>
  <w:font w:name="MS Gothic">
    <w:panose1 w:val="020B0609070205080204"/>
    <w:charset w:val="80"/>
    <w:family w:val="modern"/>
    <w:pitch w:val="default"/>
    <w:sig w:usb0="E00002FF" w:usb1="6AC7FDFB" w:usb2="08000012" w:usb3="00000000" w:csb0="4002009F" w:csb1="DFD7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200B8">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A69968">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FA69968">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59D20E">
    <w:pPr>
      <w:pStyle w:val="3"/>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77" name="文本框 7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964F58">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g8Z9XLgIAAFkEAAAOAAAAAAAAAAEAIAAAAB8BAABkcnMvZTJvRG9jLnhtbFBLBQYAAAAA&#10;BgAGAFkBAAC/BQAAAAA=&#10;">
              <v:fill on="f" focussize="0,0"/>
              <v:stroke on="f" weight="0.5pt"/>
              <v:imagedata o:title=""/>
              <o:lock v:ext="edit" aspectratio="f"/>
              <v:textbox inset="0mm,0mm,0mm,0mm" style="mso-fit-shape-to-text:t;">
                <w:txbxContent>
                  <w:p w14:paraId="5D964F58">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7FD53">
    <w:pPr>
      <w:pStyle w:val="3"/>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70" name="文本框 7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EFA86">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- 5 -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toKx8tAgAAW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OtoKx8tAgAAWQQAAA4AAAAAAAAAAQAgAAAAHwEAAGRycy9lMm9Eb2MueG1sUEsFBgAAAAAG&#10;AAYAWQEAAL4FAAAAAA==&#10;">
              <v:fill on="f" focussize="0,0"/>
              <v:stroke on="f" weight="0.5pt"/>
              <v:imagedata o:title=""/>
              <o:lock v:ext="edit" aspectratio="f"/>
              <v:textbox inset="0mm,0mm,0mm,0mm" style="mso-fit-shape-to-text:t;">
                <w:txbxContent>
                  <w:p w14:paraId="38CEFA86">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- 5 -</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84B35">
    <w:pPr>
      <w:pStyle w:val="3"/>
      <w:framePr w:wrap="around" w:vAnchor="text" w:hAnchor="margin" w:xAlign="right" w:y="1"/>
      <w:rPr>
        <w:rStyle w:val="9"/>
      </w:rPr>
    </w:pPr>
    <w:r>
      <w:fldChar w:fldCharType="begin"/>
    </w:r>
    <w:r>
      <w:rPr>
        <w:rStyle w:val="9"/>
      </w:rPr>
      <w:instrText xml:space="preserve">PAGE  </w:instrText>
    </w:r>
    <w:r>
      <w:fldChar w:fldCharType="end"/>
    </w:r>
  </w:p>
  <w:p w14:paraId="737A29EF">
    <w:pPr>
      <w:pStyle w:val="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CC09A">
    <w:pPr>
      <w:pStyle w:val="3"/>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72" name="文本框 7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762E8">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- 11 -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fXc6UuAgAAW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313OlLgIAAFkEAAAOAAAAAAAAAAEAIAAAAB8BAABkcnMvZTJvRG9jLnhtbFBLBQYAAAAA&#10;BgAGAFkBAAC/BQAAAAA=&#10;">
              <v:fill on="f" focussize="0,0"/>
              <v:stroke on="f" weight="0.5pt"/>
              <v:imagedata o:title=""/>
              <o:lock v:ext="edit" aspectratio="f"/>
              <v:textbox inset="0mm,0mm,0mm,0mm" style="mso-fit-shape-to-text:t;">
                <w:txbxContent>
                  <w:p w14:paraId="457762E8">
                    <w:pPr>
                      <w:pStyle w:val="3"/>
                    </w:pPr>
                    <w:r>
                      <w:rPr>
                        <w:rFonts w:hint="eastAsia"/>
                      </w:rPr>
                      <w:fldChar w:fldCharType="begin"/>
                    </w:r>
                    <w:r>
                      <w:rPr>
                        <w:rFonts w:hint="eastAsia"/>
                      </w:rPr>
                      <w:instrText xml:space="preserve"> PAGE  \* MERGEFORMAT </w:instrText>
                    </w:r>
                    <w:r>
                      <w:rPr>
                        <w:rFonts w:hint="eastAsia"/>
                      </w:rPr>
                      <w:fldChar w:fldCharType="separate"/>
                    </w:r>
                    <w:r>
                      <w:rPr>
                        <w:rFonts w:hint="eastAsia"/>
                      </w:rPr>
                      <w:t>- 11 -</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22A00">
    <w:pPr>
      <w:pStyle w:val="3"/>
      <w:framePr w:wrap="around" w:vAnchor="text" w:hAnchor="margin" w:xAlign="right" w:y="1"/>
      <w:rPr>
        <w:rStyle w:val="9"/>
      </w:rPr>
    </w:pPr>
    <w:r>
      <w:fldChar w:fldCharType="begin"/>
    </w:r>
    <w:r>
      <w:rPr>
        <w:rStyle w:val="9"/>
      </w:rPr>
      <w:instrText xml:space="preserve">PAGE  </w:instrText>
    </w:r>
    <w:r>
      <w:fldChar w:fldCharType="end"/>
    </w:r>
  </w:p>
  <w:p w14:paraId="0E2250AB">
    <w:pPr>
      <w:pStyle w:val="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9A142">
    <w:pPr>
      <w:pStyle w:val="4"/>
      <w:pBdr>
        <w:bottom w:val="none" w:color="auto" w:sz="0" w:space="0"/>
      </w:pBdr>
      <w:tabs>
        <w:tab w:val="center" w:pos="4155"/>
        <w:tab w:val="right" w:pos="8311"/>
        <w:tab w:val="clear" w:pos="4153"/>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36A9D">
    <w:pPr>
      <w:pStyle w:val="4"/>
      <w:pBdr>
        <w:bottom w:val="none" w:color="auto" w:sz="0" w:space="0"/>
      </w:pBdr>
      <w:tabs>
        <w:tab w:val="center" w:pos="4155"/>
        <w:tab w:val="right" w:pos="8311"/>
        <w:tab w:val="clear" w:pos="4153"/>
        <w:tab w:val="clear" w:pos="8306"/>
      </w:tabs>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DB83E">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B6E316"/>
    <w:multiLevelType w:val="singleLevel"/>
    <w:tmpl w:val="9FB6E316"/>
    <w:lvl w:ilvl="0" w:tentative="0">
      <w:start w:val="1"/>
      <w:numFmt w:val="chineseCounting"/>
      <w:suff w:val="nothing"/>
      <w:lvlText w:val="%1、"/>
      <w:lvlJc w:val="left"/>
      <w:rPr>
        <w:rFonts w:hint="eastAsia"/>
      </w:rPr>
    </w:lvl>
  </w:abstractNum>
  <w:abstractNum w:abstractNumId="1">
    <w:nsid w:val="A5803E28"/>
    <w:multiLevelType w:val="singleLevel"/>
    <w:tmpl w:val="A5803E28"/>
    <w:lvl w:ilvl="0" w:tentative="0">
      <w:start w:val="17"/>
      <w:numFmt w:val="chineseCounting"/>
      <w:suff w:val="space"/>
      <w:lvlText w:val="第%1条"/>
      <w:lvlJc w:val="left"/>
      <w:rPr>
        <w:rFonts w:hint="eastAsia"/>
      </w:rPr>
    </w:lvl>
  </w:abstractNum>
  <w:abstractNum w:abstractNumId="2">
    <w:nsid w:val="B35A13C5"/>
    <w:multiLevelType w:val="multilevel"/>
    <w:tmpl w:val="B35A13C5"/>
    <w:lvl w:ilvl="0" w:tentative="0">
      <w:start w:val="1"/>
      <w:numFmt w:val="chineseCounting"/>
      <w:lvlText w:val="%1、"/>
      <w:lvlJc w:val="left"/>
      <w:pPr>
        <w:ind w:left="0" w:firstLine="0"/>
      </w:pPr>
      <w:rPr>
        <w:rFonts w:hint="eastAsia" w:ascii="宋体" w:hAnsi="宋体" w:eastAsia="宋体"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B6CFB8E7"/>
    <w:multiLevelType w:val="singleLevel"/>
    <w:tmpl w:val="B6CFB8E7"/>
    <w:lvl w:ilvl="0" w:tentative="0">
      <w:start w:val="1"/>
      <w:numFmt w:val="decimal"/>
      <w:lvlText w:val="%1)"/>
      <w:lvlJc w:val="left"/>
      <w:pPr>
        <w:tabs>
          <w:tab w:val="left" w:pos="312"/>
        </w:tabs>
      </w:pPr>
    </w:lvl>
  </w:abstractNum>
  <w:abstractNum w:abstractNumId="4">
    <w:nsid w:val="00A2641E"/>
    <w:multiLevelType w:val="multilevel"/>
    <w:tmpl w:val="00A2641E"/>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
    <w:nsid w:val="00C35AD8"/>
    <w:multiLevelType w:val="multilevel"/>
    <w:tmpl w:val="00C35AD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6">
    <w:nsid w:val="021220F3"/>
    <w:multiLevelType w:val="multilevel"/>
    <w:tmpl w:val="021220F3"/>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7">
    <w:nsid w:val="02995547"/>
    <w:multiLevelType w:val="multilevel"/>
    <w:tmpl w:val="02995547"/>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8">
    <w:nsid w:val="03F16DE0"/>
    <w:multiLevelType w:val="multilevel"/>
    <w:tmpl w:val="03F16DE0"/>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04DD31E2"/>
    <w:multiLevelType w:val="multilevel"/>
    <w:tmpl w:val="04DD31E2"/>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0">
    <w:nsid w:val="04E321EB"/>
    <w:multiLevelType w:val="multilevel"/>
    <w:tmpl w:val="04E321EB"/>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1">
    <w:nsid w:val="05954F8E"/>
    <w:multiLevelType w:val="multilevel"/>
    <w:tmpl w:val="05954F8E"/>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2">
    <w:nsid w:val="074C1EF5"/>
    <w:multiLevelType w:val="multilevel"/>
    <w:tmpl w:val="074C1EF5"/>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3">
    <w:nsid w:val="07F6225C"/>
    <w:multiLevelType w:val="multilevel"/>
    <w:tmpl w:val="07F6225C"/>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4">
    <w:nsid w:val="086376C7"/>
    <w:multiLevelType w:val="multilevel"/>
    <w:tmpl w:val="086376C7"/>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5">
    <w:nsid w:val="08C35C7D"/>
    <w:multiLevelType w:val="multilevel"/>
    <w:tmpl w:val="08C35C7D"/>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6">
    <w:nsid w:val="08EA1E9A"/>
    <w:multiLevelType w:val="multilevel"/>
    <w:tmpl w:val="08EA1E9A"/>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7">
    <w:nsid w:val="090A6CB3"/>
    <w:multiLevelType w:val="multilevel"/>
    <w:tmpl w:val="090A6CB3"/>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8">
    <w:nsid w:val="0A1E43D8"/>
    <w:multiLevelType w:val="multilevel"/>
    <w:tmpl w:val="0A1E43D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9">
    <w:nsid w:val="0A865BFA"/>
    <w:multiLevelType w:val="multilevel"/>
    <w:tmpl w:val="0A865BFA"/>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0">
    <w:nsid w:val="0A9223BE"/>
    <w:multiLevelType w:val="multilevel"/>
    <w:tmpl w:val="0A9223BE"/>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1">
    <w:nsid w:val="0B480C91"/>
    <w:multiLevelType w:val="multilevel"/>
    <w:tmpl w:val="0B480C91"/>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2">
    <w:nsid w:val="0BD05AFE"/>
    <w:multiLevelType w:val="multilevel"/>
    <w:tmpl w:val="0BD05AFE"/>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3">
    <w:nsid w:val="0C722003"/>
    <w:multiLevelType w:val="multilevel"/>
    <w:tmpl w:val="0C722003"/>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4">
    <w:nsid w:val="0C8159DE"/>
    <w:multiLevelType w:val="multilevel"/>
    <w:tmpl w:val="0C8159DE"/>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5">
    <w:nsid w:val="0C8902A4"/>
    <w:multiLevelType w:val="multilevel"/>
    <w:tmpl w:val="0C8902A4"/>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6">
    <w:nsid w:val="0C9607C8"/>
    <w:multiLevelType w:val="multilevel"/>
    <w:tmpl w:val="0C9607C8"/>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7">
    <w:nsid w:val="0D60437D"/>
    <w:multiLevelType w:val="multilevel"/>
    <w:tmpl w:val="0D60437D"/>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8">
    <w:nsid w:val="0E0B77E3"/>
    <w:multiLevelType w:val="multilevel"/>
    <w:tmpl w:val="0E0B77E3"/>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9">
    <w:nsid w:val="0E592CDC"/>
    <w:multiLevelType w:val="multilevel"/>
    <w:tmpl w:val="0E592CDC"/>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30">
    <w:nsid w:val="0EBA3816"/>
    <w:multiLevelType w:val="multilevel"/>
    <w:tmpl w:val="0EBA3816"/>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31">
    <w:nsid w:val="0FEF7D6D"/>
    <w:multiLevelType w:val="multilevel"/>
    <w:tmpl w:val="0FEF7D6D"/>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2">
    <w:nsid w:val="103A3531"/>
    <w:multiLevelType w:val="multilevel"/>
    <w:tmpl w:val="103A353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33">
    <w:nsid w:val="105831F5"/>
    <w:multiLevelType w:val="multilevel"/>
    <w:tmpl w:val="105831F5"/>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34">
    <w:nsid w:val="109137AA"/>
    <w:multiLevelType w:val="multilevel"/>
    <w:tmpl w:val="109137AA"/>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35">
    <w:nsid w:val="10C2056A"/>
    <w:multiLevelType w:val="multilevel"/>
    <w:tmpl w:val="10C2056A"/>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36">
    <w:nsid w:val="11AF1C85"/>
    <w:multiLevelType w:val="multilevel"/>
    <w:tmpl w:val="11AF1C85"/>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37">
    <w:nsid w:val="12660E6A"/>
    <w:multiLevelType w:val="multilevel"/>
    <w:tmpl w:val="12660E6A"/>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38">
    <w:nsid w:val="127B376F"/>
    <w:multiLevelType w:val="multilevel"/>
    <w:tmpl w:val="127B376F"/>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39">
    <w:nsid w:val="1284123F"/>
    <w:multiLevelType w:val="multilevel"/>
    <w:tmpl w:val="1284123F"/>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0">
    <w:nsid w:val="12A50475"/>
    <w:multiLevelType w:val="multilevel"/>
    <w:tmpl w:val="12A50475"/>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41">
    <w:nsid w:val="12DD4DB3"/>
    <w:multiLevelType w:val="multilevel"/>
    <w:tmpl w:val="12DD4DB3"/>
    <w:lvl w:ilvl="0" w:tentative="0">
      <w:start w:val="1"/>
      <w:numFmt w:val="bullet"/>
      <w:lvlText w:val=""/>
      <w:lvlJc w:val="left"/>
      <w:pPr>
        <w:ind w:left="1560" w:hanging="420"/>
      </w:pPr>
      <w:rPr>
        <w:rFonts w:hint="default" w:ascii="Wingdings" w:hAnsi="Wingdings"/>
      </w:rPr>
    </w:lvl>
    <w:lvl w:ilvl="1" w:tentative="0">
      <w:start w:val="1"/>
      <w:numFmt w:val="bullet"/>
      <w:lvlText w:val=""/>
      <w:lvlJc w:val="left"/>
      <w:pPr>
        <w:ind w:left="1980" w:hanging="420"/>
      </w:pPr>
      <w:rPr>
        <w:rFonts w:hint="default" w:ascii="Wingdings" w:hAnsi="Wingdings"/>
      </w:rPr>
    </w:lvl>
    <w:lvl w:ilvl="2" w:tentative="0">
      <w:start w:val="1"/>
      <w:numFmt w:val="bullet"/>
      <w:lvlText w:val=""/>
      <w:lvlJc w:val="left"/>
      <w:pPr>
        <w:ind w:left="2400" w:hanging="420"/>
      </w:pPr>
      <w:rPr>
        <w:rFonts w:hint="default" w:ascii="Wingdings" w:hAnsi="Wingdings"/>
      </w:rPr>
    </w:lvl>
    <w:lvl w:ilvl="3" w:tentative="0">
      <w:start w:val="1"/>
      <w:numFmt w:val="bullet"/>
      <w:lvlText w:val=""/>
      <w:lvlJc w:val="left"/>
      <w:pPr>
        <w:ind w:left="2820" w:hanging="420"/>
      </w:pPr>
      <w:rPr>
        <w:rFonts w:hint="default" w:ascii="Wingdings" w:hAnsi="Wingdings"/>
      </w:rPr>
    </w:lvl>
    <w:lvl w:ilvl="4" w:tentative="0">
      <w:start w:val="1"/>
      <w:numFmt w:val="bullet"/>
      <w:lvlText w:val=""/>
      <w:lvlJc w:val="left"/>
      <w:pPr>
        <w:ind w:left="3240" w:hanging="420"/>
      </w:pPr>
      <w:rPr>
        <w:rFonts w:hint="default" w:ascii="Wingdings" w:hAnsi="Wingdings"/>
      </w:rPr>
    </w:lvl>
    <w:lvl w:ilvl="5" w:tentative="0">
      <w:start w:val="1"/>
      <w:numFmt w:val="bullet"/>
      <w:lvlText w:val=""/>
      <w:lvlJc w:val="left"/>
      <w:pPr>
        <w:ind w:left="3660" w:hanging="420"/>
      </w:pPr>
      <w:rPr>
        <w:rFonts w:hint="default" w:ascii="Wingdings" w:hAnsi="Wingdings"/>
      </w:rPr>
    </w:lvl>
    <w:lvl w:ilvl="6" w:tentative="0">
      <w:start w:val="1"/>
      <w:numFmt w:val="bullet"/>
      <w:lvlText w:val=""/>
      <w:lvlJc w:val="left"/>
      <w:pPr>
        <w:ind w:left="4080" w:hanging="420"/>
      </w:pPr>
      <w:rPr>
        <w:rFonts w:hint="default" w:ascii="Wingdings" w:hAnsi="Wingdings"/>
      </w:rPr>
    </w:lvl>
    <w:lvl w:ilvl="7" w:tentative="0">
      <w:start w:val="1"/>
      <w:numFmt w:val="bullet"/>
      <w:lvlText w:val=""/>
      <w:lvlJc w:val="left"/>
      <w:pPr>
        <w:ind w:left="4500" w:hanging="420"/>
      </w:pPr>
      <w:rPr>
        <w:rFonts w:hint="default" w:ascii="Wingdings" w:hAnsi="Wingdings"/>
      </w:rPr>
    </w:lvl>
    <w:lvl w:ilvl="8" w:tentative="0">
      <w:start w:val="1"/>
      <w:numFmt w:val="bullet"/>
      <w:lvlText w:val=""/>
      <w:lvlJc w:val="left"/>
      <w:pPr>
        <w:ind w:left="4920" w:hanging="420"/>
      </w:pPr>
      <w:rPr>
        <w:rFonts w:hint="default" w:ascii="Wingdings" w:hAnsi="Wingdings"/>
      </w:rPr>
    </w:lvl>
  </w:abstractNum>
  <w:abstractNum w:abstractNumId="42">
    <w:nsid w:val="12F168AA"/>
    <w:multiLevelType w:val="multilevel"/>
    <w:tmpl w:val="12F168AA"/>
    <w:lvl w:ilvl="0" w:tentative="0">
      <w:start w:val="1"/>
      <w:numFmt w:val="bullet"/>
      <w:lvlText w:val=""/>
      <w:lvlJc w:val="left"/>
      <w:pPr>
        <w:ind w:left="1080" w:hanging="420"/>
      </w:pPr>
      <w:rPr>
        <w:rFonts w:hint="default" w:ascii="Wingdings" w:hAnsi="Wingdings"/>
      </w:rPr>
    </w:lvl>
    <w:lvl w:ilvl="1" w:tentative="0">
      <w:start w:val="1"/>
      <w:numFmt w:val="bullet"/>
      <w:lvlText w:val=""/>
      <w:lvlJc w:val="left"/>
      <w:pPr>
        <w:ind w:left="1500" w:hanging="420"/>
      </w:pPr>
      <w:rPr>
        <w:rFonts w:hint="default" w:ascii="Wingdings" w:hAnsi="Wingdings"/>
      </w:rPr>
    </w:lvl>
    <w:lvl w:ilvl="2" w:tentative="0">
      <w:start w:val="1"/>
      <w:numFmt w:val="bullet"/>
      <w:lvlText w:val=""/>
      <w:lvlJc w:val="left"/>
      <w:pPr>
        <w:ind w:left="1920" w:hanging="420"/>
      </w:pPr>
      <w:rPr>
        <w:rFonts w:hint="default" w:ascii="Wingdings" w:hAnsi="Wingdings"/>
      </w:rPr>
    </w:lvl>
    <w:lvl w:ilvl="3" w:tentative="0">
      <w:start w:val="1"/>
      <w:numFmt w:val="bullet"/>
      <w:lvlText w:val=""/>
      <w:lvlJc w:val="left"/>
      <w:pPr>
        <w:ind w:left="2340" w:hanging="420"/>
      </w:pPr>
      <w:rPr>
        <w:rFonts w:hint="default" w:ascii="Wingdings" w:hAnsi="Wingdings"/>
      </w:rPr>
    </w:lvl>
    <w:lvl w:ilvl="4" w:tentative="0">
      <w:start w:val="1"/>
      <w:numFmt w:val="bullet"/>
      <w:lvlText w:val=""/>
      <w:lvlJc w:val="left"/>
      <w:pPr>
        <w:ind w:left="2760" w:hanging="420"/>
      </w:pPr>
      <w:rPr>
        <w:rFonts w:hint="default" w:ascii="Wingdings" w:hAnsi="Wingdings"/>
      </w:rPr>
    </w:lvl>
    <w:lvl w:ilvl="5" w:tentative="0">
      <w:start w:val="1"/>
      <w:numFmt w:val="bullet"/>
      <w:lvlText w:val=""/>
      <w:lvlJc w:val="left"/>
      <w:pPr>
        <w:ind w:left="3180" w:hanging="420"/>
      </w:pPr>
      <w:rPr>
        <w:rFonts w:hint="default" w:ascii="Wingdings" w:hAnsi="Wingdings"/>
      </w:rPr>
    </w:lvl>
    <w:lvl w:ilvl="6" w:tentative="0">
      <w:start w:val="1"/>
      <w:numFmt w:val="bullet"/>
      <w:lvlText w:val=""/>
      <w:lvlJc w:val="left"/>
      <w:pPr>
        <w:ind w:left="3600" w:hanging="420"/>
      </w:pPr>
      <w:rPr>
        <w:rFonts w:hint="default" w:ascii="Wingdings" w:hAnsi="Wingdings"/>
      </w:rPr>
    </w:lvl>
    <w:lvl w:ilvl="7" w:tentative="0">
      <w:start w:val="1"/>
      <w:numFmt w:val="bullet"/>
      <w:lvlText w:val=""/>
      <w:lvlJc w:val="left"/>
      <w:pPr>
        <w:ind w:left="4020" w:hanging="420"/>
      </w:pPr>
      <w:rPr>
        <w:rFonts w:hint="default" w:ascii="Wingdings" w:hAnsi="Wingdings"/>
      </w:rPr>
    </w:lvl>
    <w:lvl w:ilvl="8" w:tentative="0">
      <w:start w:val="1"/>
      <w:numFmt w:val="bullet"/>
      <w:lvlText w:val=""/>
      <w:lvlJc w:val="left"/>
      <w:pPr>
        <w:ind w:left="4440" w:hanging="420"/>
      </w:pPr>
      <w:rPr>
        <w:rFonts w:hint="default" w:ascii="Wingdings" w:hAnsi="Wingdings"/>
      </w:rPr>
    </w:lvl>
  </w:abstractNum>
  <w:abstractNum w:abstractNumId="43">
    <w:nsid w:val="13584655"/>
    <w:multiLevelType w:val="multilevel"/>
    <w:tmpl w:val="13584655"/>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4">
    <w:nsid w:val="1368206C"/>
    <w:multiLevelType w:val="multilevel"/>
    <w:tmpl w:val="1368206C"/>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45">
    <w:nsid w:val="13684051"/>
    <w:multiLevelType w:val="multilevel"/>
    <w:tmpl w:val="1368405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46">
    <w:nsid w:val="137936EF"/>
    <w:multiLevelType w:val="multilevel"/>
    <w:tmpl w:val="137936EF"/>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47">
    <w:nsid w:val="143911E6"/>
    <w:multiLevelType w:val="multilevel"/>
    <w:tmpl w:val="143911E6"/>
    <w:lvl w:ilvl="0" w:tentative="0">
      <w:start w:val="1"/>
      <w:numFmt w:val="bullet"/>
      <w:lvlText w:val=""/>
      <w:lvlJc w:val="left"/>
      <w:pPr>
        <w:ind w:left="1560" w:hanging="420"/>
      </w:pPr>
      <w:rPr>
        <w:rFonts w:hint="default" w:ascii="Wingdings" w:hAnsi="Wingdings"/>
      </w:rPr>
    </w:lvl>
    <w:lvl w:ilvl="1" w:tentative="0">
      <w:start w:val="1"/>
      <w:numFmt w:val="bullet"/>
      <w:lvlText w:val=""/>
      <w:lvlJc w:val="left"/>
      <w:pPr>
        <w:ind w:left="1980" w:hanging="420"/>
      </w:pPr>
      <w:rPr>
        <w:rFonts w:hint="default" w:ascii="Wingdings" w:hAnsi="Wingdings"/>
      </w:rPr>
    </w:lvl>
    <w:lvl w:ilvl="2" w:tentative="0">
      <w:start w:val="1"/>
      <w:numFmt w:val="bullet"/>
      <w:lvlText w:val=""/>
      <w:lvlJc w:val="left"/>
      <w:pPr>
        <w:ind w:left="2400" w:hanging="420"/>
      </w:pPr>
      <w:rPr>
        <w:rFonts w:hint="default" w:ascii="Wingdings" w:hAnsi="Wingdings"/>
      </w:rPr>
    </w:lvl>
    <w:lvl w:ilvl="3" w:tentative="0">
      <w:start w:val="1"/>
      <w:numFmt w:val="bullet"/>
      <w:lvlText w:val=""/>
      <w:lvlJc w:val="left"/>
      <w:pPr>
        <w:ind w:left="2820" w:hanging="420"/>
      </w:pPr>
      <w:rPr>
        <w:rFonts w:hint="default" w:ascii="Wingdings" w:hAnsi="Wingdings"/>
      </w:rPr>
    </w:lvl>
    <w:lvl w:ilvl="4" w:tentative="0">
      <w:start w:val="1"/>
      <w:numFmt w:val="bullet"/>
      <w:lvlText w:val=""/>
      <w:lvlJc w:val="left"/>
      <w:pPr>
        <w:ind w:left="3240" w:hanging="420"/>
      </w:pPr>
      <w:rPr>
        <w:rFonts w:hint="default" w:ascii="Wingdings" w:hAnsi="Wingdings"/>
      </w:rPr>
    </w:lvl>
    <w:lvl w:ilvl="5" w:tentative="0">
      <w:start w:val="1"/>
      <w:numFmt w:val="bullet"/>
      <w:lvlText w:val=""/>
      <w:lvlJc w:val="left"/>
      <w:pPr>
        <w:ind w:left="3660" w:hanging="420"/>
      </w:pPr>
      <w:rPr>
        <w:rFonts w:hint="default" w:ascii="Wingdings" w:hAnsi="Wingdings"/>
      </w:rPr>
    </w:lvl>
    <w:lvl w:ilvl="6" w:tentative="0">
      <w:start w:val="1"/>
      <w:numFmt w:val="bullet"/>
      <w:lvlText w:val=""/>
      <w:lvlJc w:val="left"/>
      <w:pPr>
        <w:ind w:left="4080" w:hanging="420"/>
      </w:pPr>
      <w:rPr>
        <w:rFonts w:hint="default" w:ascii="Wingdings" w:hAnsi="Wingdings"/>
      </w:rPr>
    </w:lvl>
    <w:lvl w:ilvl="7" w:tentative="0">
      <w:start w:val="1"/>
      <w:numFmt w:val="bullet"/>
      <w:lvlText w:val=""/>
      <w:lvlJc w:val="left"/>
      <w:pPr>
        <w:ind w:left="4500" w:hanging="420"/>
      </w:pPr>
      <w:rPr>
        <w:rFonts w:hint="default" w:ascii="Wingdings" w:hAnsi="Wingdings"/>
      </w:rPr>
    </w:lvl>
    <w:lvl w:ilvl="8" w:tentative="0">
      <w:start w:val="1"/>
      <w:numFmt w:val="bullet"/>
      <w:lvlText w:val=""/>
      <w:lvlJc w:val="left"/>
      <w:pPr>
        <w:ind w:left="4920" w:hanging="420"/>
      </w:pPr>
      <w:rPr>
        <w:rFonts w:hint="default" w:ascii="Wingdings" w:hAnsi="Wingdings"/>
      </w:rPr>
    </w:lvl>
  </w:abstractNum>
  <w:abstractNum w:abstractNumId="48">
    <w:nsid w:val="1439144F"/>
    <w:multiLevelType w:val="multilevel"/>
    <w:tmpl w:val="1439144F"/>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49">
    <w:nsid w:val="14BF0B92"/>
    <w:multiLevelType w:val="multilevel"/>
    <w:tmpl w:val="14BF0B92"/>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50">
    <w:nsid w:val="14CB5971"/>
    <w:multiLevelType w:val="multilevel"/>
    <w:tmpl w:val="14CB5971"/>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51">
    <w:nsid w:val="14FD59CE"/>
    <w:multiLevelType w:val="multilevel"/>
    <w:tmpl w:val="14FD59CE"/>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52">
    <w:nsid w:val="159414C4"/>
    <w:multiLevelType w:val="multilevel"/>
    <w:tmpl w:val="159414C4"/>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53">
    <w:nsid w:val="16207ADD"/>
    <w:multiLevelType w:val="multilevel"/>
    <w:tmpl w:val="16207ADD"/>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54">
    <w:nsid w:val="16BD00D8"/>
    <w:multiLevelType w:val="multilevel"/>
    <w:tmpl w:val="16BD00D8"/>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55">
    <w:nsid w:val="18B461A8"/>
    <w:multiLevelType w:val="multilevel"/>
    <w:tmpl w:val="18B461A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56">
    <w:nsid w:val="192B30B8"/>
    <w:multiLevelType w:val="multilevel"/>
    <w:tmpl w:val="192B30B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57">
    <w:nsid w:val="19AC03A7"/>
    <w:multiLevelType w:val="multilevel"/>
    <w:tmpl w:val="19AC03A7"/>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58">
    <w:nsid w:val="19CC6A89"/>
    <w:multiLevelType w:val="multilevel"/>
    <w:tmpl w:val="19CC6A89"/>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59">
    <w:nsid w:val="1ABD753C"/>
    <w:multiLevelType w:val="multilevel"/>
    <w:tmpl w:val="1ABD753C"/>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60">
    <w:nsid w:val="1B4133D5"/>
    <w:multiLevelType w:val="multilevel"/>
    <w:tmpl w:val="1B4133D5"/>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61">
    <w:nsid w:val="1BD567BC"/>
    <w:multiLevelType w:val="multilevel"/>
    <w:tmpl w:val="1BD567BC"/>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62">
    <w:nsid w:val="1C5F1600"/>
    <w:multiLevelType w:val="multilevel"/>
    <w:tmpl w:val="1C5F1600"/>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63">
    <w:nsid w:val="1C7F7D1E"/>
    <w:multiLevelType w:val="multilevel"/>
    <w:tmpl w:val="1C7F7D1E"/>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64">
    <w:nsid w:val="1CBD2D3A"/>
    <w:multiLevelType w:val="multilevel"/>
    <w:tmpl w:val="1CBD2D3A"/>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65">
    <w:nsid w:val="1CC434BF"/>
    <w:multiLevelType w:val="multilevel"/>
    <w:tmpl w:val="1CC434BF"/>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66">
    <w:nsid w:val="1D9645B8"/>
    <w:multiLevelType w:val="multilevel"/>
    <w:tmpl w:val="1D9645B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67">
    <w:nsid w:val="1DA44A48"/>
    <w:multiLevelType w:val="multilevel"/>
    <w:tmpl w:val="1DA44A4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68">
    <w:nsid w:val="1DD05F61"/>
    <w:multiLevelType w:val="multilevel"/>
    <w:tmpl w:val="1DD05F61"/>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69">
    <w:nsid w:val="1DEC0CFC"/>
    <w:multiLevelType w:val="singleLevel"/>
    <w:tmpl w:val="1DEC0CFC"/>
    <w:lvl w:ilvl="0" w:tentative="0">
      <w:start w:val="6"/>
      <w:numFmt w:val="chineseCounting"/>
      <w:lvlText w:val="%1、"/>
      <w:legacy w:legacy="1" w:legacySpace="0" w:legacyIndent="400"/>
      <w:lvlJc w:val="left"/>
      <w:rPr>
        <w:rFonts w:hint="eastAsia" w:ascii="宋体" w:hAnsi="宋体" w:eastAsia="宋体"/>
      </w:rPr>
    </w:lvl>
  </w:abstractNum>
  <w:abstractNum w:abstractNumId="70">
    <w:nsid w:val="20546C34"/>
    <w:multiLevelType w:val="multilevel"/>
    <w:tmpl w:val="20546C34"/>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71">
    <w:nsid w:val="209E7DE1"/>
    <w:multiLevelType w:val="multilevel"/>
    <w:tmpl w:val="209E7DE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72">
    <w:nsid w:val="22974063"/>
    <w:multiLevelType w:val="multilevel"/>
    <w:tmpl w:val="22974063"/>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73">
    <w:nsid w:val="22A309A1"/>
    <w:multiLevelType w:val="multilevel"/>
    <w:tmpl w:val="22A309A1"/>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74">
    <w:nsid w:val="240B62F1"/>
    <w:multiLevelType w:val="multilevel"/>
    <w:tmpl w:val="240B62F1"/>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75">
    <w:nsid w:val="24267D76"/>
    <w:multiLevelType w:val="multilevel"/>
    <w:tmpl w:val="24267D76"/>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76">
    <w:nsid w:val="24906F97"/>
    <w:multiLevelType w:val="multilevel"/>
    <w:tmpl w:val="24906F97"/>
    <w:lvl w:ilvl="0" w:tentative="0">
      <w:start w:val="1"/>
      <w:numFmt w:val="bullet"/>
      <w:lvlText w:val=""/>
      <w:lvlJc w:val="left"/>
      <w:pPr>
        <w:tabs>
          <w:tab w:val="left" w:pos="1686"/>
        </w:tabs>
        <w:ind w:left="1686" w:hanging="420"/>
      </w:pPr>
      <w:rPr>
        <w:rFonts w:hint="default" w:ascii="Wingdings" w:hAnsi="Wingdings"/>
      </w:rPr>
    </w:lvl>
    <w:lvl w:ilvl="1" w:tentative="0">
      <w:start w:val="1"/>
      <w:numFmt w:val="bullet"/>
      <w:lvlText w:val=""/>
      <w:lvlJc w:val="left"/>
      <w:pPr>
        <w:tabs>
          <w:tab w:val="left" w:pos="1215"/>
        </w:tabs>
        <w:ind w:left="1215" w:hanging="420"/>
      </w:pPr>
      <w:rPr>
        <w:rFonts w:hint="default" w:ascii="Wingdings" w:hAnsi="Wingdings"/>
      </w:rPr>
    </w:lvl>
    <w:lvl w:ilvl="2" w:tentative="0">
      <w:start w:val="1"/>
      <w:numFmt w:val="bullet"/>
      <w:lvlText w:val=""/>
      <w:lvlJc w:val="left"/>
      <w:pPr>
        <w:tabs>
          <w:tab w:val="left" w:pos="1635"/>
        </w:tabs>
        <w:ind w:left="1635" w:hanging="420"/>
      </w:pPr>
      <w:rPr>
        <w:rFonts w:hint="default" w:ascii="Wingdings" w:hAnsi="Wingdings"/>
      </w:rPr>
    </w:lvl>
    <w:lvl w:ilvl="3" w:tentative="0">
      <w:start w:val="1"/>
      <w:numFmt w:val="bullet"/>
      <w:lvlText w:val=""/>
      <w:lvlJc w:val="left"/>
      <w:pPr>
        <w:tabs>
          <w:tab w:val="left" w:pos="2055"/>
        </w:tabs>
        <w:ind w:left="2055" w:hanging="420"/>
      </w:pPr>
      <w:rPr>
        <w:rFonts w:hint="default" w:ascii="Wingdings" w:hAnsi="Wingdings"/>
      </w:rPr>
    </w:lvl>
    <w:lvl w:ilvl="4" w:tentative="0">
      <w:start w:val="1"/>
      <w:numFmt w:val="bullet"/>
      <w:lvlText w:val=""/>
      <w:lvlJc w:val="left"/>
      <w:pPr>
        <w:tabs>
          <w:tab w:val="left" w:pos="2475"/>
        </w:tabs>
        <w:ind w:left="2475" w:hanging="420"/>
      </w:pPr>
      <w:rPr>
        <w:rFonts w:hint="default" w:ascii="Wingdings" w:hAnsi="Wingdings"/>
      </w:rPr>
    </w:lvl>
    <w:lvl w:ilvl="5" w:tentative="0">
      <w:start w:val="1"/>
      <w:numFmt w:val="bullet"/>
      <w:lvlText w:val=""/>
      <w:lvlJc w:val="left"/>
      <w:pPr>
        <w:tabs>
          <w:tab w:val="left" w:pos="2895"/>
        </w:tabs>
        <w:ind w:left="2895" w:hanging="420"/>
      </w:pPr>
      <w:rPr>
        <w:rFonts w:hint="default" w:ascii="Wingdings" w:hAnsi="Wingdings"/>
      </w:rPr>
    </w:lvl>
    <w:lvl w:ilvl="6" w:tentative="0">
      <w:start w:val="1"/>
      <w:numFmt w:val="bullet"/>
      <w:lvlText w:val=""/>
      <w:lvlJc w:val="left"/>
      <w:pPr>
        <w:tabs>
          <w:tab w:val="left" w:pos="3315"/>
        </w:tabs>
        <w:ind w:left="3315" w:hanging="420"/>
      </w:pPr>
      <w:rPr>
        <w:rFonts w:hint="default" w:ascii="Wingdings" w:hAnsi="Wingdings"/>
      </w:rPr>
    </w:lvl>
    <w:lvl w:ilvl="7" w:tentative="0">
      <w:start w:val="1"/>
      <w:numFmt w:val="bullet"/>
      <w:lvlText w:val=""/>
      <w:lvlJc w:val="left"/>
      <w:pPr>
        <w:tabs>
          <w:tab w:val="left" w:pos="3735"/>
        </w:tabs>
        <w:ind w:left="3735" w:hanging="420"/>
      </w:pPr>
      <w:rPr>
        <w:rFonts w:hint="default" w:ascii="Wingdings" w:hAnsi="Wingdings"/>
      </w:rPr>
    </w:lvl>
    <w:lvl w:ilvl="8" w:tentative="0">
      <w:start w:val="1"/>
      <w:numFmt w:val="bullet"/>
      <w:lvlText w:val=""/>
      <w:lvlJc w:val="left"/>
      <w:pPr>
        <w:tabs>
          <w:tab w:val="left" w:pos="4155"/>
        </w:tabs>
        <w:ind w:left="4155" w:hanging="420"/>
      </w:pPr>
      <w:rPr>
        <w:rFonts w:hint="default" w:ascii="Wingdings" w:hAnsi="Wingdings"/>
      </w:rPr>
    </w:lvl>
  </w:abstractNum>
  <w:abstractNum w:abstractNumId="77">
    <w:nsid w:val="24B15067"/>
    <w:multiLevelType w:val="multilevel"/>
    <w:tmpl w:val="24B15067"/>
    <w:lvl w:ilvl="0" w:tentative="0">
      <w:start w:val="1"/>
      <w:numFmt w:val="bullet"/>
      <w:lvlText w:val=""/>
      <w:lvlJc w:val="left"/>
      <w:pPr>
        <w:ind w:left="1560" w:hanging="420"/>
      </w:pPr>
      <w:rPr>
        <w:rFonts w:hint="default" w:ascii="Wingdings" w:hAnsi="Wingdings"/>
      </w:rPr>
    </w:lvl>
    <w:lvl w:ilvl="1" w:tentative="0">
      <w:start w:val="1"/>
      <w:numFmt w:val="bullet"/>
      <w:lvlText w:val=""/>
      <w:lvlJc w:val="left"/>
      <w:pPr>
        <w:ind w:left="1980" w:hanging="420"/>
      </w:pPr>
      <w:rPr>
        <w:rFonts w:hint="default" w:ascii="Wingdings" w:hAnsi="Wingdings"/>
      </w:rPr>
    </w:lvl>
    <w:lvl w:ilvl="2" w:tentative="0">
      <w:start w:val="1"/>
      <w:numFmt w:val="bullet"/>
      <w:lvlText w:val=""/>
      <w:lvlJc w:val="left"/>
      <w:pPr>
        <w:ind w:left="2400" w:hanging="420"/>
      </w:pPr>
      <w:rPr>
        <w:rFonts w:hint="default" w:ascii="Wingdings" w:hAnsi="Wingdings"/>
      </w:rPr>
    </w:lvl>
    <w:lvl w:ilvl="3" w:tentative="0">
      <w:start w:val="1"/>
      <w:numFmt w:val="bullet"/>
      <w:lvlText w:val=""/>
      <w:lvlJc w:val="left"/>
      <w:pPr>
        <w:ind w:left="2820" w:hanging="420"/>
      </w:pPr>
      <w:rPr>
        <w:rFonts w:hint="default" w:ascii="Wingdings" w:hAnsi="Wingdings"/>
      </w:rPr>
    </w:lvl>
    <w:lvl w:ilvl="4" w:tentative="0">
      <w:start w:val="1"/>
      <w:numFmt w:val="bullet"/>
      <w:lvlText w:val=""/>
      <w:lvlJc w:val="left"/>
      <w:pPr>
        <w:ind w:left="3240" w:hanging="420"/>
      </w:pPr>
      <w:rPr>
        <w:rFonts w:hint="default" w:ascii="Wingdings" w:hAnsi="Wingdings"/>
      </w:rPr>
    </w:lvl>
    <w:lvl w:ilvl="5" w:tentative="0">
      <w:start w:val="1"/>
      <w:numFmt w:val="bullet"/>
      <w:lvlText w:val=""/>
      <w:lvlJc w:val="left"/>
      <w:pPr>
        <w:ind w:left="3660" w:hanging="420"/>
      </w:pPr>
      <w:rPr>
        <w:rFonts w:hint="default" w:ascii="Wingdings" w:hAnsi="Wingdings"/>
      </w:rPr>
    </w:lvl>
    <w:lvl w:ilvl="6" w:tentative="0">
      <w:start w:val="1"/>
      <w:numFmt w:val="bullet"/>
      <w:lvlText w:val=""/>
      <w:lvlJc w:val="left"/>
      <w:pPr>
        <w:ind w:left="4080" w:hanging="420"/>
      </w:pPr>
      <w:rPr>
        <w:rFonts w:hint="default" w:ascii="Wingdings" w:hAnsi="Wingdings"/>
      </w:rPr>
    </w:lvl>
    <w:lvl w:ilvl="7" w:tentative="0">
      <w:start w:val="1"/>
      <w:numFmt w:val="bullet"/>
      <w:lvlText w:val=""/>
      <w:lvlJc w:val="left"/>
      <w:pPr>
        <w:ind w:left="4500" w:hanging="420"/>
      </w:pPr>
      <w:rPr>
        <w:rFonts w:hint="default" w:ascii="Wingdings" w:hAnsi="Wingdings"/>
      </w:rPr>
    </w:lvl>
    <w:lvl w:ilvl="8" w:tentative="0">
      <w:start w:val="1"/>
      <w:numFmt w:val="bullet"/>
      <w:lvlText w:val=""/>
      <w:lvlJc w:val="left"/>
      <w:pPr>
        <w:ind w:left="4920" w:hanging="420"/>
      </w:pPr>
      <w:rPr>
        <w:rFonts w:hint="default" w:ascii="Wingdings" w:hAnsi="Wingdings"/>
      </w:rPr>
    </w:lvl>
  </w:abstractNum>
  <w:abstractNum w:abstractNumId="78">
    <w:nsid w:val="25527F80"/>
    <w:multiLevelType w:val="multilevel"/>
    <w:tmpl w:val="25527F80"/>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79">
    <w:nsid w:val="25C06AA0"/>
    <w:multiLevelType w:val="multilevel"/>
    <w:tmpl w:val="25C06AA0"/>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80">
    <w:nsid w:val="26392124"/>
    <w:multiLevelType w:val="multilevel"/>
    <w:tmpl w:val="26392124"/>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81">
    <w:nsid w:val="26CE5587"/>
    <w:multiLevelType w:val="multilevel"/>
    <w:tmpl w:val="26CE5587"/>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82">
    <w:nsid w:val="26F379F1"/>
    <w:multiLevelType w:val="multilevel"/>
    <w:tmpl w:val="26F379F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83">
    <w:nsid w:val="27622299"/>
    <w:multiLevelType w:val="multilevel"/>
    <w:tmpl w:val="27622299"/>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84">
    <w:nsid w:val="27773128"/>
    <w:multiLevelType w:val="multilevel"/>
    <w:tmpl w:val="2777312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85">
    <w:nsid w:val="280B7743"/>
    <w:multiLevelType w:val="multilevel"/>
    <w:tmpl w:val="280B7743"/>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6">
    <w:nsid w:val="29526A36"/>
    <w:multiLevelType w:val="multilevel"/>
    <w:tmpl w:val="29526A36"/>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87">
    <w:nsid w:val="29AF5C1D"/>
    <w:multiLevelType w:val="multilevel"/>
    <w:tmpl w:val="29AF5C1D"/>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88">
    <w:nsid w:val="2A216F9B"/>
    <w:multiLevelType w:val="multilevel"/>
    <w:tmpl w:val="2A216F9B"/>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89">
    <w:nsid w:val="2A5F28F0"/>
    <w:multiLevelType w:val="multilevel"/>
    <w:tmpl w:val="2A5F28F0"/>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90">
    <w:nsid w:val="2A9264C4"/>
    <w:multiLevelType w:val="multilevel"/>
    <w:tmpl w:val="2A9264C4"/>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1">
    <w:nsid w:val="2AB935CF"/>
    <w:multiLevelType w:val="multilevel"/>
    <w:tmpl w:val="2AB935CF"/>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92">
    <w:nsid w:val="2B162A23"/>
    <w:multiLevelType w:val="multilevel"/>
    <w:tmpl w:val="2B162A23"/>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93">
    <w:nsid w:val="2C712B9E"/>
    <w:multiLevelType w:val="multilevel"/>
    <w:tmpl w:val="2C712B9E"/>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94">
    <w:nsid w:val="2D4A3934"/>
    <w:multiLevelType w:val="multilevel"/>
    <w:tmpl w:val="2D4A3934"/>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95">
    <w:nsid w:val="2D8D3691"/>
    <w:multiLevelType w:val="multilevel"/>
    <w:tmpl w:val="2D8D369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96">
    <w:nsid w:val="2EA120C1"/>
    <w:multiLevelType w:val="multilevel"/>
    <w:tmpl w:val="2EA120C1"/>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97">
    <w:nsid w:val="2F4B065A"/>
    <w:multiLevelType w:val="multilevel"/>
    <w:tmpl w:val="2F4B065A"/>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98">
    <w:nsid w:val="2F871D0C"/>
    <w:multiLevelType w:val="multilevel"/>
    <w:tmpl w:val="2F871D0C"/>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99">
    <w:nsid w:val="300A2B8E"/>
    <w:multiLevelType w:val="multilevel"/>
    <w:tmpl w:val="300A2B8E"/>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00">
    <w:nsid w:val="305B5840"/>
    <w:multiLevelType w:val="multilevel"/>
    <w:tmpl w:val="305B5840"/>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01">
    <w:nsid w:val="30834E50"/>
    <w:multiLevelType w:val="multilevel"/>
    <w:tmpl w:val="30834E50"/>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02">
    <w:nsid w:val="30C24ECC"/>
    <w:multiLevelType w:val="multilevel"/>
    <w:tmpl w:val="30C24ECC"/>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03">
    <w:nsid w:val="31653A2A"/>
    <w:multiLevelType w:val="multilevel"/>
    <w:tmpl w:val="31653A2A"/>
    <w:lvl w:ilvl="0" w:tentative="0">
      <w:start w:val="1"/>
      <w:numFmt w:val="bullet"/>
      <w:lvlText w:val=""/>
      <w:lvlJc w:val="left"/>
      <w:pPr>
        <w:ind w:left="1185" w:hanging="420"/>
      </w:pPr>
      <w:rPr>
        <w:rFonts w:hint="default" w:ascii="Wingdings" w:hAnsi="Wingdings"/>
      </w:rPr>
    </w:lvl>
    <w:lvl w:ilvl="1" w:tentative="0">
      <w:start w:val="1"/>
      <w:numFmt w:val="bullet"/>
      <w:lvlText w:val=""/>
      <w:lvlJc w:val="left"/>
      <w:pPr>
        <w:ind w:left="1605" w:hanging="420"/>
      </w:pPr>
      <w:rPr>
        <w:rFonts w:hint="default" w:ascii="Wingdings" w:hAnsi="Wingdings"/>
      </w:rPr>
    </w:lvl>
    <w:lvl w:ilvl="2" w:tentative="0">
      <w:start w:val="1"/>
      <w:numFmt w:val="bullet"/>
      <w:lvlText w:val=""/>
      <w:lvlJc w:val="left"/>
      <w:pPr>
        <w:ind w:left="2025" w:hanging="420"/>
      </w:pPr>
      <w:rPr>
        <w:rFonts w:hint="default" w:ascii="Wingdings" w:hAnsi="Wingdings"/>
      </w:rPr>
    </w:lvl>
    <w:lvl w:ilvl="3" w:tentative="0">
      <w:start w:val="1"/>
      <w:numFmt w:val="bullet"/>
      <w:lvlText w:val=""/>
      <w:lvlJc w:val="left"/>
      <w:pPr>
        <w:ind w:left="2445" w:hanging="420"/>
      </w:pPr>
      <w:rPr>
        <w:rFonts w:hint="default" w:ascii="Wingdings" w:hAnsi="Wingdings"/>
      </w:rPr>
    </w:lvl>
    <w:lvl w:ilvl="4" w:tentative="0">
      <w:start w:val="1"/>
      <w:numFmt w:val="bullet"/>
      <w:lvlText w:val=""/>
      <w:lvlJc w:val="left"/>
      <w:pPr>
        <w:ind w:left="2865" w:hanging="420"/>
      </w:pPr>
      <w:rPr>
        <w:rFonts w:hint="default" w:ascii="Wingdings" w:hAnsi="Wingdings"/>
      </w:rPr>
    </w:lvl>
    <w:lvl w:ilvl="5" w:tentative="0">
      <w:start w:val="1"/>
      <w:numFmt w:val="bullet"/>
      <w:lvlText w:val=""/>
      <w:lvlJc w:val="left"/>
      <w:pPr>
        <w:ind w:left="3285" w:hanging="420"/>
      </w:pPr>
      <w:rPr>
        <w:rFonts w:hint="default" w:ascii="Wingdings" w:hAnsi="Wingdings"/>
      </w:rPr>
    </w:lvl>
    <w:lvl w:ilvl="6" w:tentative="0">
      <w:start w:val="1"/>
      <w:numFmt w:val="bullet"/>
      <w:lvlText w:val=""/>
      <w:lvlJc w:val="left"/>
      <w:pPr>
        <w:ind w:left="3705" w:hanging="420"/>
      </w:pPr>
      <w:rPr>
        <w:rFonts w:hint="default" w:ascii="Wingdings" w:hAnsi="Wingdings"/>
      </w:rPr>
    </w:lvl>
    <w:lvl w:ilvl="7" w:tentative="0">
      <w:start w:val="1"/>
      <w:numFmt w:val="bullet"/>
      <w:lvlText w:val=""/>
      <w:lvlJc w:val="left"/>
      <w:pPr>
        <w:ind w:left="4125" w:hanging="420"/>
      </w:pPr>
      <w:rPr>
        <w:rFonts w:hint="default" w:ascii="Wingdings" w:hAnsi="Wingdings"/>
      </w:rPr>
    </w:lvl>
    <w:lvl w:ilvl="8" w:tentative="0">
      <w:start w:val="1"/>
      <w:numFmt w:val="bullet"/>
      <w:lvlText w:val=""/>
      <w:lvlJc w:val="left"/>
      <w:pPr>
        <w:ind w:left="4545" w:hanging="420"/>
      </w:pPr>
      <w:rPr>
        <w:rFonts w:hint="default" w:ascii="Wingdings" w:hAnsi="Wingdings"/>
      </w:rPr>
    </w:lvl>
  </w:abstractNum>
  <w:abstractNum w:abstractNumId="104">
    <w:nsid w:val="31BC31F6"/>
    <w:multiLevelType w:val="multilevel"/>
    <w:tmpl w:val="31BC31F6"/>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05">
    <w:nsid w:val="31C45CF2"/>
    <w:multiLevelType w:val="multilevel"/>
    <w:tmpl w:val="31C45CF2"/>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06">
    <w:nsid w:val="326514B2"/>
    <w:multiLevelType w:val="multilevel"/>
    <w:tmpl w:val="326514B2"/>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07">
    <w:nsid w:val="32D143E6"/>
    <w:multiLevelType w:val="multilevel"/>
    <w:tmpl w:val="32D143E6"/>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08">
    <w:nsid w:val="32EF4037"/>
    <w:multiLevelType w:val="multilevel"/>
    <w:tmpl w:val="32EF4037"/>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09">
    <w:nsid w:val="332016FA"/>
    <w:multiLevelType w:val="multilevel"/>
    <w:tmpl w:val="332016FA"/>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10">
    <w:nsid w:val="34F67B30"/>
    <w:multiLevelType w:val="multilevel"/>
    <w:tmpl w:val="34F67B30"/>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11">
    <w:nsid w:val="351B0EAE"/>
    <w:multiLevelType w:val="multilevel"/>
    <w:tmpl w:val="351B0EAE"/>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12">
    <w:nsid w:val="35DB4E8C"/>
    <w:multiLevelType w:val="multilevel"/>
    <w:tmpl w:val="35DB4E8C"/>
    <w:lvl w:ilvl="0" w:tentative="0">
      <w:start w:val="1"/>
      <w:numFmt w:val="bullet"/>
      <w:lvlText w:val=""/>
      <w:lvlJc w:val="left"/>
      <w:pPr>
        <w:ind w:left="1185" w:hanging="420"/>
      </w:pPr>
      <w:rPr>
        <w:rFonts w:hint="default" w:ascii="Wingdings" w:hAnsi="Wingdings"/>
      </w:rPr>
    </w:lvl>
    <w:lvl w:ilvl="1" w:tentative="0">
      <w:start w:val="1"/>
      <w:numFmt w:val="bullet"/>
      <w:lvlText w:val=""/>
      <w:lvlJc w:val="left"/>
      <w:pPr>
        <w:ind w:left="1605" w:hanging="420"/>
      </w:pPr>
      <w:rPr>
        <w:rFonts w:hint="default" w:ascii="Wingdings" w:hAnsi="Wingdings"/>
      </w:rPr>
    </w:lvl>
    <w:lvl w:ilvl="2" w:tentative="0">
      <w:start w:val="1"/>
      <w:numFmt w:val="bullet"/>
      <w:lvlText w:val=""/>
      <w:lvlJc w:val="left"/>
      <w:pPr>
        <w:ind w:left="2025" w:hanging="420"/>
      </w:pPr>
      <w:rPr>
        <w:rFonts w:hint="default" w:ascii="Wingdings" w:hAnsi="Wingdings"/>
      </w:rPr>
    </w:lvl>
    <w:lvl w:ilvl="3" w:tentative="0">
      <w:start w:val="1"/>
      <w:numFmt w:val="bullet"/>
      <w:lvlText w:val=""/>
      <w:lvlJc w:val="left"/>
      <w:pPr>
        <w:ind w:left="2445" w:hanging="420"/>
      </w:pPr>
      <w:rPr>
        <w:rFonts w:hint="default" w:ascii="Wingdings" w:hAnsi="Wingdings"/>
      </w:rPr>
    </w:lvl>
    <w:lvl w:ilvl="4" w:tentative="0">
      <w:start w:val="1"/>
      <w:numFmt w:val="bullet"/>
      <w:lvlText w:val=""/>
      <w:lvlJc w:val="left"/>
      <w:pPr>
        <w:ind w:left="2865" w:hanging="420"/>
      </w:pPr>
      <w:rPr>
        <w:rFonts w:hint="default" w:ascii="Wingdings" w:hAnsi="Wingdings"/>
      </w:rPr>
    </w:lvl>
    <w:lvl w:ilvl="5" w:tentative="0">
      <w:start w:val="1"/>
      <w:numFmt w:val="bullet"/>
      <w:lvlText w:val=""/>
      <w:lvlJc w:val="left"/>
      <w:pPr>
        <w:ind w:left="3285" w:hanging="420"/>
      </w:pPr>
      <w:rPr>
        <w:rFonts w:hint="default" w:ascii="Wingdings" w:hAnsi="Wingdings"/>
      </w:rPr>
    </w:lvl>
    <w:lvl w:ilvl="6" w:tentative="0">
      <w:start w:val="1"/>
      <w:numFmt w:val="bullet"/>
      <w:lvlText w:val=""/>
      <w:lvlJc w:val="left"/>
      <w:pPr>
        <w:ind w:left="3705" w:hanging="420"/>
      </w:pPr>
      <w:rPr>
        <w:rFonts w:hint="default" w:ascii="Wingdings" w:hAnsi="Wingdings"/>
      </w:rPr>
    </w:lvl>
    <w:lvl w:ilvl="7" w:tentative="0">
      <w:start w:val="1"/>
      <w:numFmt w:val="bullet"/>
      <w:lvlText w:val=""/>
      <w:lvlJc w:val="left"/>
      <w:pPr>
        <w:ind w:left="4125" w:hanging="420"/>
      </w:pPr>
      <w:rPr>
        <w:rFonts w:hint="default" w:ascii="Wingdings" w:hAnsi="Wingdings"/>
      </w:rPr>
    </w:lvl>
    <w:lvl w:ilvl="8" w:tentative="0">
      <w:start w:val="1"/>
      <w:numFmt w:val="bullet"/>
      <w:lvlText w:val=""/>
      <w:lvlJc w:val="left"/>
      <w:pPr>
        <w:ind w:left="4545" w:hanging="420"/>
      </w:pPr>
      <w:rPr>
        <w:rFonts w:hint="default" w:ascii="Wingdings" w:hAnsi="Wingdings"/>
      </w:rPr>
    </w:lvl>
  </w:abstractNum>
  <w:abstractNum w:abstractNumId="113">
    <w:nsid w:val="36290110"/>
    <w:multiLevelType w:val="multilevel"/>
    <w:tmpl w:val="36290110"/>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14">
    <w:nsid w:val="362E4FF6"/>
    <w:multiLevelType w:val="multilevel"/>
    <w:tmpl w:val="362E4FF6"/>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15">
    <w:nsid w:val="363713F0"/>
    <w:multiLevelType w:val="multilevel"/>
    <w:tmpl w:val="363713F0"/>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16">
    <w:nsid w:val="37091A80"/>
    <w:multiLevelType w:val="multilevel"/>
    <w:tmpl w:val="37091A80"/>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17">
    <w:nsid w:val="37212931"/>
    <w:multiLevelType w:val="multilevel"/>
    <w:tmpl w:val="3721293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18">
    <w:nsid w:val="37365AEF"/>
    <w:multiLevelType w:val="multilevel"/>
    <w:tmpl w:val="37365AEF"/>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19">
    <w:nsid w:val="37EE584E"/>
    <w:multiLevelType w:val="multilevel"/>
    <w:tmpl w:val="37EE584E"/>
    <w:lvl w:ilvl="0" w:tentative="0">
      <w:start w:val="1"/>
      <w:numFmt w:val="bullet"/>
      <w:lvlText w:val=""/>
      <w:lvlJc w:val="left"/>
      <w:pPr>
        <w:ind w:left="885" w:hanging="420"/>
      </w:pPr>
      <w:rPr>
        <w:rFonts w:hint="default" w:ascii="Wingdings" w:hAnsi="Wingdings"/>
      </w:rPr>
    </w:lvl>
    <w:lvl w:ilvl="1" w:tentative="0">
      <w:start w:val="1"/>
      <w:numFmt w:val="bullet"/>
      <w:lvlText w:val=""/>
      <w:lvlJc w:val="left"/>
      <w:pPr>
        <w:ind w:left="1305" w:hanging="420"/>
      </w:pPr>
      <w:rPr>
        <w:rFonts w:hint="default" w:ascii="Wingdings" w:hAnsi="Wingdings"/>
      </w:rPr>
    </w:lvl>
    <w:lvl w:ilvl="2" w:tentative="0">
      <w:start w:val="1"/>
      <w:numFmt w:val="bullet"/>
      <w:lvlText w:val=""/>
      <w:lvlJc w:val="left"/>
      <w:pPr>
        <w:ind w:left="1725" w:hanging="420"/>
      </w:pPr>
      <w:rPr>
        <w:rFonts w:hint="default" w:ascii="Wingdings" w:hAnsi="Wingdings"/>
      </w:rPr>
    </w:lvl>
    <w:lvl w:ilvl="3" w:tentative="0">
      <w:start w:val="1"/>
      <w:numFmt w:val="bullet"/>
      <w:lvlText w:val=""/>
      <w:lvlJc w:val="left"/>
      <w:pPr>
        <w:ind w:left="2145" w:hanging="420"/>
      </w:pPr>
      <w:rPr>
        <w:rFonts w:hint="default" w:ascii="Wingdings" w:hAnsi="Wingdings"/>
      </w:rPr>
    </w:lvl>
    <w:lvl w:ilvl="4" w:tentative="0">
      <w:start w:val="1"/>
      <w:numFmt w:val="bullet"/>
      <w:lvlText w:val=""/>
      <w:lvlJc w:val="left"/>
      <w:pPr>
        <w:ind w:left="2565" w:hanging="420"/>
      </w:pPr>
      <w:rPr>
        <w:rFonts w:hint="default" w:ascii="Wingdings" w:hAnsi="Wingdings"/>
      </w:rPr>
    </w:lvl>
    <w:lvl w:ilvl="5" w:tentative="0">
      <w:start w:val="1"/>
      <w:numFmt w:val="bullet"/>
      <w:lvlText w:val=""/>
      <w:lvlJc w:val="left"/>
      <w:pPr>
        <w:ind w:left="2985" w:hanging="420"/>
      </w:pPr>
      <w:rPr>
        <w:rFonts w:hint="default" w:ascii="Wingdings" w:hAnsi="Wingdings"/>
      </w:rPr>
    </w:lvl>
    <w:lvl w:ilvl="6" w:tentative="0">
      <w:start w:val="1"/>
      <w:numFmt w:val="bullet"/>
      <w:lvlText w:val=""/>
      <w:lvlJc w:val="left"/>
      <w:pPr>
        <w:ind w:left="3405" w:hanging="420"/>
      </w:pPr>
      <w:rPr>
        <w:rFonts w:hint="default" w:ascii="Wingdings" w:hAnsi="Wingdings"/>
      </w:rPr>
    </w:lvl>
    <w:lvl w:ilvl="7" w:tentative="0">
      <w:start w:val="1"/>
      <w:numFmt w:val="bullet"/>
      <w:lvlText w:val=""/>
      <w:lvlJc w:val="left"/>
      <w:pPr>
        <w:ind w:left="3825" w:hanging="420"/>
      </w:pPr>
      <w:rPr>
        <w:rFonts w:hint="default" w:ascii="Wingdings" w:hAnsi="Wingdings"/>
      </w:rPr>
    </w:lvl>
    <w:lvl w:ilvl="8" w:tentative="0">
      <w:start w:val="1"/>
      <w:numFmt w:val="bullet"/>
      <w:lvlText w:val=""/>
      <w:lvlJc w:val="left"/>
      <w:pPr>
        <w:ind w:left="4245" w:hanging="420"/>
      </w:pPr>
      <w:rPr>
        <w:rFonts w:hint="default" w:ascii="Wingdings" w:hAnsi="Wingdings"/>
      </w:rPr>
    </w:lvl>
  </w:abstractNum>
  <w:abstractNum w:abstractNumId="120">
    <w:nsid w:val="37FF6C72"/>
    <w:multiLevelType w:val="multilevel"/>
    <w:tmpl w:val="37FF6C72"/>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21">
    <w:nsid w:val="38AF4221"/>
    <w:multiLevelType w:val="multilevel"/>
    <w:tmpl w:val="38AF4221"/>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2">
    <w:nsid w:val="38DC1EFF"/>
    <w:multiLevelType w:val="multilevel"/>
    <w:tmpl w:val="38DC1EFF"/>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23">
    <w:nsid w:val="397166D0"/>
    <w:multiLevelType w:val="multilevel"/>
    <w:tmpl w:val="397166D0"/>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24">
    <w:nsid w:val="39857195"/>
    <w:multiLevelType w:val="multilevel"/>
    <w:tmpl w:val="39857195"/>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25">
    <w:nsid w:val="398F74E5"/>
    <w:multiLevelType w:val="multilevel"/>
    <w:tmpl w:val="398F74E5"/>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26">
    <w:nsid w:val="39A64C47"/>
    <w:multiLevelType w:val="multilevel"/>
    <w:tmpl w:val="39A64C47"/>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27">
    <w:nsid w:val="3B415B3F"/>
    <w:multiLevelType w:val="multilevel"/>
    <w:tmpl w:val="3B415B3F"/>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91"/>
        </w:tabs>
        <w:ind w:left="891" w:hanging="420"/>
      </w:pPr>
      <w:rPr>
        <w:rFonts w:hint="default" w:ascii="Wingdings" w:hAnsi="Wingdings"/>
      </w:rPr>
    </w:lvl>
    <w:lvl w:ilvl="2" w:tentative="0">
      <w:start w:val="1"/>
      <w:numFmt w:val="bullet"/>
      <w:lvlText w:val=""/>
      <w:lvlJc w:val="left"/>
      <w:pPr>
        <w:tabs>
          <w:tab w:val="left" w:pos="1311"/>
        </w:tabs>
        <w:ind w:left="1311" w:hanging="420"/>
      </w:pPr>
      <w:rPr>
        <w:rFonts w:hint="default" w:ascii="Wingdings" w:hAnsi="Wingdings"/>
      </w:rPr>
    </w:lvl>
    <w:lvl w:ilvl="3" w:tentative="0">
      <w:start w:val="1"/>
      <w:numFmt w:val="bullet"/>
      <w:lvlText w:val=""/>
      <w:lvlJc w:val="left"/>
      <w:pPr>
        <w:tabs>
          <w:tab w:val="left" w:pos="1731"/>
        </w:tabs>
        <w:ind w:left="1731" w:hanging="420"/>
      </w:pPr>
      <w:rPr>
        <w:rFonts w:hint="default" w:ascii="Wingdings" w:hAnsi="Wingdings"/>
      </w:rPr>
    </w:lvl>
    <w:lvl w:ilvl="4" w:tentative="0">
      <w:start w:val="1"/>
      <w:numFmt w:val="bullet"/>
      <w:lvlText w:val=""/>
      <w:lvlJc w:val="left"/>
      <w:pPr>
        <w:tabs>
          <w:tab w:val="left" w:pos="2151"/>
        </w:tabs>
        <w:ind w:left="2151" w:hanging="420"/>
      </w:pPr>
      <w:rPr>
        <w:rFonts w:hint="default" w:ascii="Wingdings" w:hAnsi="Wingdings"/>
      </w:rPr>
    </w:lvl>
    <w:lvl w:ilvl="5" w:tentative="0">
      <w:start w:val="1"/>
      <w:numFmt w:val="bullet"/>
      <w:lvlText w:val=""/>
      <w:lvlJc w:val="left"/>
      <w:pPr>
        <w:tabs>
          <w:tab w:val="left" w:pos="2571"/>
        </w:tabs>
        <w:ind w:left="2571" w:hanging="420"/>
      </w:pPr>
      <w:rPr>
        <w:rFonts w:hint="default" w:ascii="Wingdings" w:hAnsi="Wingdings"/>
      </w:rPr>
    </w:lvl>
    <w:lvl w:ilvl="6" w:tentative="0">
      <w:start w:val="1"/>
      <w:numFmt w:val="bullet"/>
      <w:lvlText w:val=""/>
      <w:lvlJc w:val="left"/>
      <w:pPr>
        <w:tabs>
          <w:tab w:val="left" w:pos="2991"/>
        </w:tabs>
        <w:ind w:left="2991" w:hanging="420"/>
      </w:pPr>
      <w:rPr>
        <w:rFonts w:hint="default" w:ascii="Wingdings" w:hAnsi="Wingdings"/>
      </w:rPr>
    </w:lvl>
    <w:lvl w:ilvl="7" w:tentative="0">
      <w:start w:val="1"/>
      <w:numFmt w:val="bullet"/>
      <w:lvlText w:val=""/>
      <w:lvlJc w:val="left"/>
      <w:pPr>
        <w:tabs>
          <w:tab w:val="left" w:pos="3411"/>
        </w:tabs>
        <w:ind w:left="3411" w:hanging="420"/>
      </w:pPr>
      <w:rPr>
        <w:rFonts w:hint="default" w:ascii="Wingdings" w:hAnsi="Wingdings"/>
      </w:rPr>
    </w:lvl>
    <w:lvl w:ilvl="8" w:tentative="0">
      <w:start w:val="1"/>
      <w:numFmt w:val="bullet"/>
      <w:lvlText w:val=""/>
      <w:lvlJc w:val="left"/>
      <w:pPr>
        <w:tabs>
          <w:tab w:val="left" w:pos="3831"/>
        </w:tabs>
        <w:ind w:left="3831" w:hanging="420"/>
      </w:pPr>
      <w:rPr>
        <w:rFonts w:hint="default" w:ascii="Wingdings" w:hAnsi="Wingdings"/>
      </w:rPr>
    </w:lvl>
  </w:abstractNum>
  <w:abstractNum w:abstractNumId="128">
    <w:nsid w:val="3B6F5E14"/>
    <w:multiLevelType w:val="multilevel"/>
    <w:tmpl w:val="3B6F5E14"/>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29">
    <w:nsid w:val="3B893F72"/>
    <w:multiLevelType w:val="multilevel"/>
    <w:tmpl w:val="3B893F72"/>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30">
    <w:nsid w:val="3BF31B00"/>
    <w:multiLevelType w:val="multilevel"/>
    <w:tmpl w:val="3BF31B00"/>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31">
    <w:nsid w:val="3E7721E5"/>
    <w:multiLevelType w:val="multilevel"/>
    <w:tmpl w:val="3E7721E5"/>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32">
    <w:nsid w:val="3F875872"/>
    <w:multiLevelType w:val="multilevel"/>
    <w:tmpl w:val="3F875872"/>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33">
    <w:nsid w:val="3FF722E8"/>
    <w:multiLevelType w:val="multilevel"/>
    <w:tmpl w:val="3FF722E8"/>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34">
    <w:nsid w:val="408324CE"/>
    <w:multiLevelType w:val="multilevel"/>
    <w:tmpl w:val="408324CE"/>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35">
    <w:nsid w:val="415110F3"/>
    <w:multiLevelType w:val="singleLevel"/>
    <w:tmpl w:val="415110F3"/>
    <w:lvl w:ilvl="0" w:tentative="0">
      <w:start w:val="5"/>
      <w:numFmt w:val="chineseCounting"/>
      <w:lvlText w:val="%1、"/>
      <w:legacy w:legacy="1" w:legacySpace="0" w:legacyIndent="400"/>
      <w:lvlJc w:val="left"/>
      <w:rPr>
        <w:rFonts w:hint="eastAsia" w:ascii="宋体" w:hAnsi="宋体" w:eastAsia="宋体"/>
      </w:rPr>
    </w:lvl>
  </w:abstractNum>
  <w:abstractNum w:abstractNumId="136">
    <w:nsid w:val="4183746E"/>
    <w:multiLevelType w:val="multilevel"/>
    <w:tmpl w:val="4183746E"/>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37">
    <w:nsid w:val="42817EE5"/>
    <w:multiLevelType w:val="multilevel"/>
    <w:tmpl w:val="42817EE5"/>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91"/>
        </w:tabs>
        <w:ind w:left="891" w:hanging="420"/>
      </w:pPr>
      <w:rPr>
        <w:rFonts w:hint="default" w:ascii="Wingdings" w:hAnsi="Wingdings"/>
      </w:rPr>
    </w:lvl>
    <w:lvl w:ilvl="2" w:tentative="0">
      <w:start w:val="1"/>
      <w:numFmt w:val="bullet"/>
      <w:lvlText w:val=""/>
      <w:lvlJc w:val="left"/>
      <w:pPr>
        <w:tabs>
          <w:tab w:val="left" w:pos="1311"/>
        </w:tabs>
        <w:ind w:left="1311" w:hanging="420"/>
      </w:pPr>
      <w:rPr>
        <w:rFonts w:hint="default" w:ascii="Wingdings" w:hAnsi="Wingdings"/>
      </w:rPr>
    </w:lvl>
    <w:lvl w:ilvl="3" w:tentative="0">
      <w:start w:val="1"/>
      <w:numFmt w:val="bullet"/>
      <w:lvlText w:val=""/>
      <w:lvlJc w:val="left"/>
      <w:pPr>
        <w:tabs>
          <w:tab w:val="left" w:pos="1731"/>
        </w:tabs>
        <w:ind w:left="1731" w:hanging="420"/>
      </w:pPr>
      <w:rPr>
        <w:rFonts w:hint="default" w:ascii="Wingdings" w:hAnsi="Wingdings"/>
      </w:rPr>
    </w:lvl>
    <w:lvl w:ilvl="4" w:tentative="0">
      <w:start w:val="1"/>
      <w:numFmt w:val="bullet"/>
      <w:lvlText w:val=""/>
      <w:lvlJc w:val="left"/>
      <w:pPr>
        <w:tabs>
          <w:tab w:val="left" w:pos="2151"/>
        </w:tabs>
        <w:ind w:left="2151" w:hanging="420"/>
      </w:pPr>
      <w:rPr>
        <w:rFonts w:hint="default" w:ascii="Wingdings" w:hAnsi="Wingdings"/>
      </w:rPr>
    </w:lvl>
    <w:lvl w:ilvl="5" w:tentative="0">
      <w:start w:val="1"/>
      <w:numFmt w:val="bullet"/>
      <w:lvlText w:val=""/>
      <w:lvlJc w:val="left"/>
      <w:pPr>
        <w:tabs>
          <w:tab w:val="left" w:pos="2571"/>
        </w:tabs>
        <w:ind w:left="2571" w:hanging="420"/>
      </w:pPr>
      <w:rPr>
        <w:rFonts w:hint="default" w:ascii="Wingdings" w:hAnsi="Wingdings"/>
      </w:rPr>
    </w:lvl>
    <w:lvl w:ilvl="6" w:tentative="0">
      <w:start w:val="1"/>
      <w:numFmt w:val="bullet"/>
      <w:lvlText w:val=""/>
      <w:lvlJc w:val="left"/>
      <w:pPr>
        <w:tabs>
          <w:tab w:val="left" w:pos="2991"/>
        </w:tabs>
        <w:ind w:left="2991" w:hanging="420"/>
      </w:pPr>
      <w:rPr>
        <w:rFonts w:hint="default" w:ascii="Wingdings" w:hAnsi="Wingdings"/>
      </w:rPr>
    </w:lvl>
    <w:lvl w:ilvl="7" w:tentative="0">
      <w:start w:val="1"/>
      <w:numFmt w:val="bullet"/>
      <w:lvlText w:val=""/>
      <w:lvlJc w:val="left"/>
      <w:pPr>
        <w:tabs>
          <w:tab w:val="left" w:pos="3411"/>
        </w:tabs>
        <w:ind w:left="3411" w:hanging="420"/>
      </w:pPr>
      <w:rPr>
        <w:rFonts w:hint="default" w:ascii="Wingdings" w:hAnsi="Wingdings"/>
      </w:rPr>
    </w:lvl>
    <w:lvl w:ilvl="8" w:tentative="0">
      <w:start w:val="1"/>
      <w:numFmt w:val="bullet"/>
      <w:lvlText w:val=""/>
      <w:lvlJc w:val="left"/>
      <w:pPr>
        <w:tabs>
          <w:tab w:val="left" w:pos="3831"/>
        </w:tabs>
        <w:ind w:left="3831" w:hanging="420"/>
      </w:pPr>
      <w:rPr>
        <w:rFonts w:hint="default" w:ascii="Wingdings" w:hAnsi="Wingdings"/>
      </w:rPr>
    </w:lvl>
  </w:abstractNum>
  <w:abstractNum w:abstractNumId="138">
    <w:nsid w:val="42EB6F5B"/>
    <w:multiLevelType w:val="multilevel"/>
    <w:tmpl w:val="42EB6F5B"/>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39">
    <w:nsid w:val="43C3540A"/>
    <w:multiLevelType w:val="multilevel"/>
    <w:tmpl w:val="43C3540A"/>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40">
    <w:nsid w:val="454F3DDA"/>
    <w:multiLevelType w:val="multilevel"/>
    <w:tmpl w:val="454F3DDA"/>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41">
    <w:nsid w:val="46DE7010"/>
    <w:multiLevelType w:val="multilevel"/>
    <w:tmpl w:val="46DE7010"/>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42">
    <w:nsid w:val="47ED1F34"/>
    <w:multiLevelType w:val="multilevel"/>
    <w:tmpl w:val="47ED1F34"/>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43">
    <w:nsid w:val="480240D4"/>
    <w:multiLevelType w:val="multilevel"/>
    <w:tmpl w:val="480240D4"/>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44">
    <w:nsid w:val="49E23195"/>
    <w:multiLevelType w:val="multilevel"/>
    <w:tmpl w:val="49E23195"/>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45">
    <w:nsid w:val="49E478E8"/>
    <w:multiLevelType w:val="multilevel"/>
    <w:tmpl w:val="49E478E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46">
    <w:nsid w:val="4A212475"/>
    <w:multiLevelType w:val="multilevel"/>
    <w:tmpl w:val="4A212475"/>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47">
    <w:nsid w:val="4A473A85"/>
    <w:multiLevelType w:val="multilevel"/>
    <w:tmpl w:val="4A473A85"/>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91"/>
        </w:tabs>
        <w:ind w:left="891" w:hanging="420"/>
      </w:pPr>
      <w:rPr>
        <w:rFonts w:hint="default" w:ascii="Wingdings" w:hAnsi="Wingdings"/>
      </w:rPr>
    </w:lvl>
    <w:lvl w:ilvl="2" w:tentative="0">
      <w:start w:val="1"/>
      <w:numFmt w:val="bullet"/>
      <w:lvlText w:val=""/>
      <w:lvlJc w:val="left"/>
      <w:pPr>
        <w:tabs>
          <w:tab w:val="left" w:pos="1311"/>
        </w:tabs>
        <w:ind w:left="1311" w:hanging="420"/>
      </w:pPr>
      <w:rPr>
        <w:rFonts w:hint="default" w:ascii="Wingdings" w:hAnsi="Wingdings"/>
      </w:rPr>
    </w:lvl>
    <w:lvl w:ilvl="3" w:tentative="0">
      <w:start w:val="1"/>
      <w:numFmt w:val="bullet"/>
      <w:lvlText w:val=""/>
      <w:lvlJc w:val="left"/>
      <w:pPr>
        <w:tabs>
          <w:tab w:val="left" w:pos="1731"/>
        </w:tabs>
        <w:ind w:left="1731" w:hanging="420"/>
      </w:pPr>
      <w:rPr>
        <w:rFonts w:hint="default" w:ascii="Wingdings" w:hAnsi="Wingdings"/>
      </w:rPr>
    </w:lvl>
    <w:lvl w:ilvl="4" w:tentative="0">
      <w:start w:val="1"/>
      <w:numFmt w:val="bullet"/>
      <w:lvlText w:val=""/>
      <w:lvlJc w:val="left"/>
      <w:pPr>
        <w:tabs>
          <w:tab w:val="left" w:pos="2151"/>
        </w:tabs>
        <w:ind w:left="2151" w:hanging="420"/>
      </w:pPr>
      <w:rPr>
        <w:rFonts w:hint="default" w:ascii="Wingdings" w:hAnsi="Wingdings"/>
      </w:rPr>
    </w:lvl>
    <w:lvl w:ilvl="5" w:tentative="0">
      <w:start w:val="1"/>
      <w:numFmt w:val="bullet"/>
      <w:lvlText w:val=""/>
      <w:lvlJc w:val="left"/>
      <w:pPr>
        <w:tabs>
          <w:tab w:val="left" w:pos="2571"/>
        </w:tabs>
        <w:ind w:left="2571" w:hanging="420"/>
      </w:pPr>
      <w:rPr>
        <w:rFonts w:hint="default" w:ascii="Wingdings" w:hAnsi="Wingdings"/>
      </w:rPr>
    </w:lvl>
    <w:lvl w:ilvl="6" w:tentative="0">
      <w:start w:val="1"/>
      <w:numFmt w:val="bullet"/>
      <w:lvlText w:val=""/>
      <w:lvlJc w:val="left"/>
      <w:pPr>
        <w:tabs>
          <w:tab w:val="left" w:pos="2991"/>
        </w:tabs>
        <w:ind w:left="2991" w:hanging="420"/>
      </w:pPr>
      <w:rPr>
        <w:rFonts w:hint="default" w:ascii="Wingdings" w:hAnsi="Wingdings"/>
      </w:rPr>
    </w:lvl>
    <w:lvl w:ilvl="7" w:tentative="0">
      <w:start w:val="1"/>
      <w:numFmt w:val="bullet"/>
      <w:lvlText w:val=""/>
      <w:lvlJc w:val="left"/>
      <w:pPr>
        <w:tabs>
          <w:tab w:val="left" w:pos="3411"/>
        </w:tabs>
        <w:ind w:left="3411" w:hanging="420"/>
      </w:pPr>
      <w:rPr>
        <w:rFonts w:hint="default" w:ascii="Wingdings" w:hAnsi="Wingdings"/>
      </w:rPr>
    </w:lvl>
    <w:lvl w:ilvl="8" w:tentative="0">
      <w:start w:val="1"/>
      <w:numFmt w:val="bullet"/>
      <w:lvlText w:val=""/>
      <w:lvlJc w:val="left"/>
      <w:pPr>
        <w:tabs>
          <w:tab w:val="left" w:pos="3831"/>
        </w:tabs>
        <w:ind w:left="3831" w:hanging="420"/>
      </w:pPr>
      <w:rPr>
        <w:rFonts w:hint="default" w:ascii="Wingdings" w:hAnsi="Wingdings"/>
      </w:rPr>
    </w:lvl>
  </w:abstractNum>
  <w:abstractNum w:abstractNumId="148">
    <w:nsid w:val="4A490A0B"/>
    <w:multiLevelType w:val="multilevel"/>
    <w:tmpl w:val="4A490A0B"/>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49">
    <w:nsid w:val="4A8931E9"/>
    <w:multiLevelType w:val="multilevel"/>
    <w:tmpl w:val="4A8931E9"/>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50">
    <w:nsid w:val="4B385894"/>
    <w:multiLevelType w:val="multilevel"/>
    <w:tmpl w:val="4B385894"/>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51">
    <w:nsid w:val="4BBE048B"/>
    <w:multiLevelType w:val="multilevel"/>
    <w:tmpl w:val="4BBE048B"/>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52">
    <w:nsid w:val="4D9A5E78"/>
    <w:multiLevelType w:val="multilevel"/>
    <w:tmpl w:val="4D9A5E78"/>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53">
    <w:nsid w:val="4E1C4781"/>
    <w:multiLevelType w:val="multilevel"/>
    <w:tmpl w:val="4E1C4781"/>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54">
    <w:nsid w:val="4E376621"/>
    <w:multiLevelType w:val="multilevel"/>
    <w:tmpl w:val="4E37662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55">
    <w:nsid w:val="4FF07F23"/>
    <w:multiLevelType w:val="multilevel"/>
    <w:tmpl w:val="4FF07F23"/>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56">
    <w:nsid w:val="502D0EB1"/>
    <w:multiLevelType w:val="multilevel"/>
    <w:tmpl w:val="502D0EB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57">
    <w:nsid w:val="518F3155"/>
    <w:multiLevelType w:val="multilevel"/>
    <w:tmpl w:val="518F3155"/>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58">
    <w:nsid w:val="52683070"/>
    <w:multiLevelType w:val="multilevel"/>
    <w:tmpl w:val="52683070"/>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59">
    <w:nsid w:val="53DE2A9F"/>
    <w:multiLevelType w:val="multilevel"/>
    <w:tmpl w:val="53DE2A9F"/>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60">
    <w:nsid w:val="54003FFD"/>
    <w:multiLevelType w:val="multilevel"/>
    <w:tmpl w:val="54003FFD"/>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1">
    <w:nsid w:val="543375A4"/>
    <w:multiLevelType w:val="multilevel"/>
    <w:tmpl w:val="543375A4"/>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62">
    <w:nsid w:val="54395B32"/>
    <w:multiLevelType w:val="multilevel"/>
    <w:tmpl w:val="54395B32"/>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3">
    <w:nsid w:val="54AF09A6"/>
    <w:multiLevelType w:val="multilevel"/>
    <w:tmpl w:val="54AF09A6"/>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4">
    <w:nsid w:val="54BB4109"/>
    <w:multiLevelType w:val="multilevel"/>
    <w:tmpl w:val="54BB4109"/>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65">
    <w:nsid w:val="55696C4A"/>
    <w:multiLevelType w:val="multilevel"/>
    <w:tmpl w:val="55696C4A"/>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66">
    <w:nsid w:val="55A20013"/>
    <w:multiLevelType w:val="multilevel"/>
    <w:tmpl w:val="55A20013"/>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67">
    <w:nsid w:val="55E03F99"/>
    <w:multiLevelType w:val="multilevel"/>
    <w:tmpl w:val="55E03F99"/>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168">
    <w:nsid w:val="567F1941"/>
    <w:multiLevelType w:val="multilevel"/>
    <w:tmpl w:val="567F1941"/>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69">
    <w:nsid w:val="56F002D4"/>
    <w:multiLevelType w:val="multilevel"/>
    <w:tmpl w:val="56F002D4"/>
    <w:lvl w:ilvl="0" w:tentative="0">
      <w:start w:val="1"/>
      <w:numFmt w:val="bullet"/>
      <w:lvlText w:val=""/>
      <w:lvlJc w:val="left"/>
      <w:pPr>
        <w:tabs>
          <w:tab w:val="left" w:pos="1170"/>
        </w:tabs>
        <w:ind w:left="117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0">
    <w:nsid w:val="57075F5F"/>
    <w:multiLevelType w:val="multilevel"/>
    <w:tmpl w:val="57075F5F"/>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71">
    <w:nsid w:val="57854054"/>
    <w:multiLevelType w:val="multilevel"/>
    <w:tmpl w:val="57854054"/>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72">
    <w:nsid w:val="58352C34"/>
    <w:multiLevelType w:val="multilevel"/>
    <w:tmpl w:val="58352C34"/>
    <w:lvl w:ilvl="0" w:tentative="0">
      <w:start w:val="1"/>
      <w:numFmt w:val="bullet"/>
      <w:lvlText w:val=""/>
      <w:lvlJc w:val="left"/>
      <w:pPr>
        <w:ind w:left="1560" w:hanging="420"/>
      </w:pPr>
      <w:rPr>
        <w:rFonts w:hint="default" w:ascii="Wingdings" w:hAnsi="Wingdings"/>
      </w:rPr>
    </w:lvl>
    <w:lvl w:ilvl="1" w:tentative="0">
      <w:start w:val="1"/>
      <w:numFmt w:val="bullet"/>
      <w:lvlText w:val=""/>
      <w:lvlJc w:val="left"/>
      <w:pPr>
        <w:ind w:left="1980" w:hanging="420"/>
      </w:pPr>
      <w:rPr>
        <w:rFonts w:hint="default" w:ascii="Wingdings" w:hAnsi="Wingdings"/>
      </w:rPr>
    </w:lvl>
    <w:lvl w:ilvl="2" w:tentative="0">
      <w:start w:val="1"/>
      <w:numFmt w:val="bullet"/>
      <w:lvlText w:val=""/>
      <w:lvlJc w:val="left"/>
      <w:pPr>
        <w:ind w:left="2400" w:hanging="420"/>
      </w:pPr>
      <w:rPr>
        <w:rFonts w:hint="default" w:ascii="Wingdings" w:hAnsi="Wingdings"/>
      </w:rPr>
    </w:lvl>
    <w:lvl w:ilvl="3" w:tentative="0">
      <w:start w:val="1"/>
      <w:numFmt w:val="bullet"/>
      <w:lvlText w:val=""/>
      <w:lvlJc w:val="left"/>
      <w:pPr>
        <w:ind w:left="2820" w:hanging="420"/>
      </w:pPr>
      <w:rPr>
        <w:rFonts w:hint="default" w:ascii="Wingdings" w:hAnsi="Wingdings"/>
      </w:rPr>
    </w:lvl>
    <w:lvl w:ilvl="4" w:tentative="0">
      <w:start w:val="1"/>
      <w:numFmt w:val="bullet"/>
      <w:lvlText w:val=""/>
      <w:lvlJc w:val="left"/>
      <w:pPr>
        <w:ind w:left="3240" w:hanging="420"/>
      </w:pPr>
      <w:rPr>
        <w:rFonts w:hint="default" w:ascii="Wingdings" w:hAnsi="Wingdings"/>
      </w:rPr>
    </w:lvl>
    <w:lvl w:ilvl="5" w:tentative="0">
      <w:start w:val="1"/>
      <w:numFmt w:val="bullet"/>
      <w:lvlText w:val=""/>
      <w:lvlJc w:val="left"/>
      <w:pPr>
        <w:ind w:left="3660" w:hanging="420"/>
      </w:pPr>
      <w:rPr>
        <w:rFonts w:hint="default" w:ascii="Wingdings" w:hAnsi="Wingdings"/>
      </w:rPr>
    </w:lvl>
    <w:lvl w:ilvl="6" w:tentative="0">
      <w:start w:val="1"/>
      <w:numFmt w:val="bullet"/>
      <w:lvlText w:val=""/>
      <w:lvlJc w:val="left"/>
      <w:pPr>
        <w:ind w:left="4080" w:hanging="420"/>
      </w:pPr>
      <w:rPr>
        <w:rFonts w:hint="default" w:ascii="Wingdings" w:hAnsi="Wingdings"/>
      </w:rPr>
    </w:lvl>
    <w:lvl w:ilvl="7" w:tentative="0">
      <w:start w:val="1"/>
      <w:numFmt w:val="bullet"/>
      <w:lvlText w:val=""/>
      <w:lvlJc w:val="left"/>
      <w:pPr>
        <w:ind w:left="4500" w:hanging="420"/>
      </w:pPr>
      <w:rPr>
        <w:rFonts w:hint="default" w:ascii="Wingdings" w:hAnsi="Wingdings"/>
      </w:rPr>
    </w:lvl>
    <w:lvl w:ilvl="8" w:tentative="0">
      <w:start w:val="1"/>
      <w:numFmt w:val="bullet"/>
      <w:lvlText w:val=""/>
      <w:lvlJc w:val="left"/>
      <w:pPr>
        <w:ind w:left="4920" w:hanging="420"/>
      </w:pPr>
      <w:rPr>
        <w:rFonts w:hint="default" w:ascii="Wingdings" w:hAnsi="Wingdings"/>
      </w:rPr>
    </w:lvl>
  </w:abstractNum>
  <w:abstractNum w:abstractNumId="173">
    <w:nsid w:val="58574101"/>
    <w:multiLevelType w:val="multilevel"/>
    <w:tmpl w:val="58574101"/>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74">
    <w:nsid w:val="586E37D3"/>
    <w:multiLevelType w:val="multilevel"/>
    <w:tmpl w:val="586E37D3"/>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5">
    <w:nsid w:val="58DE0628"/>
    <w:multiLevelType w:val="multilevel"/>
    <w:tmpl w:val="58DE062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76">
    <w:nsid w:val="597C26F5"/>
    <w:multiLevelType w:val="multilevel"/>
    <w:tmpl w:val="597C26F5"/>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77">
    <w:nsid w:val="59854594"/>
    <w:multiLevelType w:val="multilevel"/>
    <w:tmpl w:val="59854594"/>
    <w:lvl w:ilvl="0" w:tentative="0">
      <w:start w:val="2"/>
      <w:numFmt w:val="chineseCounting"/>
      <w:lvlText w:val="%1、"/>
      <w:lvlJc w:val="left"/>
      <w:pPr>
        <w:ind w:left="0" w:firstLine="0"/>
      </w:pPr>
      <w:rPr>
        <w:rFonts w:hint="eastAsia" w:ascii="宋体" w:hAnsi="宋体" w:eastAsia="宋体"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8">
    <w:nsid w:val="59863A8B"/>
    <w:multiLevelType w:val="multilevel"/>
    <w:tmpl w:val="59863A8B"/>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79">
    <w:nsid w:val="5A401CF1"/>
    <w:multiLevelType w:val="multilevel"/>
    <w:tmpl w:val="5A401CF1"/>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0">
    <w:nsid w:val="5A937B52"/>
    <w:multiLevelType w:val="multilevel"/>
    <w:tmpl w:val="5A937B52"/>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81">
    <w:nsid w:val="5AB04CB6"/>
    <w:multiLevelType w:val="singleLevel"/>
    <w:tmpl w:val="5AB04CB6"/>
    <w:lvl w:ilvl="0" w:tentative="0">
      <w:start w:val="4"/>
      <w:numFmt w:val="chineseCounting"/>
      <w:lvlText w:val="%1、"/>
      <w:legacy w:legacy="1" w:legacySpace="0" w:legacyIndent="400"/>
      <w:lvlJc w:val="left"/>
      <w:rPr>
        <w:rFonts w:hint="eastAsia" w:ascii="宋体" w:hAnsi="宋体" w:eastAsia="宋体"/>
      </w:rPr>
    </w:lvl>
  </w:abstractNum>
  <w:abstractNum w:abstractNumId="182">
    <w:nsid w:val="5B3B31AC"/>
    <w:multiLevelType w:val="multilevel"/>
    <w:tmpl w:val="5B3B31AC"/>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83">
    <w:nsid w:val="5B6B55DB"/>
    <w:multiLevelType w:val="multilevel"/>
    <w:tmpl w:val="5B6B55DB"/>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84">
    <w:nsid w:val="5BB27BA2"/>
    <w:multiLevelType w:val="multilevel"/>
    <w:tmpl w:val="5BB27BA2"/>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5">
    <w:nsid w:val="5C8645DA"/>
    <w:multiLevelType w:val="multilevel"/>
    <w:tmpl w:val="5C8645DA"/>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86">
    <w:nsid w:val="5CB31969"/>
    <w:multiLevelType w:val="multilevel"/>
    <w:tmpl w:val="5CB31969"/>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1560"/>
        </w:tabs>
        <w:ind w:left="1560" w:hanging="420"/>
      </w:pPr>
      <w:rPr>
        <w:rFonts w:hint="default" w:ascii="Wingdings" w:hAnsi="Wingdings"/>
      </w:rPr>
    </w:lvl>
    <w:lvl w:ilvl="2" w:tentative="0">
      <w:start w:val="1"/>
      <w:numFmt w:val="bullet"/>
      <w:lvlText w:val=""/>
      <w:lvlJc w:val="left"/>
      <w:pPr>
        <w:tabs>
          <w:tab w:val="left" w:pos="1980"/>
        </w:tabs>
        <w:ind w:left="1980" w:hanging="420"/>
      </w:pPr>
      <w:rPr>
        <w:rFonts w:hint="default" w:ascii="Wingdings" w:hAnsi="Wingdings"/>
      </w:rPr>
    </w:lvl>
    <w:lvl w:ilvl="3" w:tentative="0">
      <w:start w:val="1"/>
      <w:numFmt w:val="bullet"/>
      <w:lvlText w:val=""/>
      <w:lvlJc w:val="left"/>
      <w:pPr>
        <w:tabs>
          <w:tab w:val="left" w:pos="2400"/>
        </w:tabs>
        <w:ind w:left="2400" w:hanging="420"/>
      </w:pPr>
      <w:rPr>
        <w:rFonts w:hint="default" w:ascii="Wingdings" w:hAnsi="Wingdings"/>
      </w:rPr>
    </w:lvl>
    <w:lvl w:ilvl="4" w:tentative="0">
      <w:start w:val="1"/>
      <w:numFmt w:val="bullet"/>
      <w:lvlText w:val=""/>
      <w:lvlJc w:val="left"/>
      <w:pPr>
        <w:tabs>
          <w:tab w:val="left" w:pos="2820"/>
        </w:tabs>
        <w:ind w:left="2820" w:hanging="420"/>
      </w:pPr>
      <w:rPr>
        <w:rFonts w:hint="default" w:ascii="Wingdings" w:hAnsi="Wingdings"/>
      </w:rPr>
    </w:lvl>
    <w:lvl w:ilvl="5" w:tentative="0">
      <w:start w:val="1"/>
      <w:numFmt w:val="bullet"/>
      <w:lvlText w:val=""/>
      <w:lvlJc w:val="left"/>
      <w:pPr>
        <w:tabs>
          <w:tab w:val="left" w:pos="3240"/>
        </w:tabs>
        <w:ind w:left="3240" w:hanging="420"/>
      </w:pPr>
      <w:rPr>
        <w:rFonts w:hint="default" w:ascii="Wingdings" w:hAnsi="Wingdings"/>
      </w:rPr>
    </w:lvl>
    <w:lvl w:ilvl="6" w:tentative="0">
      <w:start w:val="1"/>
      <w:numFmt w:val="bullet"/>
      <w:lvlText w:val=""/>
      <w:lvlJc w:val="left"/>
      <w:pPr>
        <w:tabs>
          <w:tab w:val="left" w:pos="3660"/>
        </w:tabs>
        <w:ind w:left="3660" w:hanging="420"/>
      </w:pPr>
      <w:rPr>
        <w:rFonts w:hint="default" w:ascii="Wingdings" w:hAnsi="Wingdings"/>
      </w:rPr>
    </w:lvl>
    <w:lvl w:ilvl="7" w:tentative="0">
      <w:start w:val="1"/>
      <w:numFmt w:val="bullet"/>
      <w:lvlText w:val=""/>
      <w:lvlJc w:val="left"/>
      <w:pPr>
        <w:tabs>
          <w:tab w:val="left" w:pos="4080"/>
        </w:tabs>
        <w:ind w:left="4080" w:hanging="420"/>
      </w:pPr>
      <w:rPr>
        <w:rFonts w:hint="default" w:ascii="Wingdings" w:hAnsi="Wingdings"/>
      </w:rPr>
    </w:lvl>
    <w:lvl w:ilvl="8" w:tentative="0">
      <w:start w:val="1"/>
      <w:numFmt w:val="bullet"/>
      <w:lvlText w:val=""/>
      <w:lvlJc w:val="left"/>
      <w:pPr>
        <w:tabs>
          <w:tab w:val="left" w:pos="4500"/>
        </w:tabs>
        <w:ind w:left="4500" w:hanging="420"/>
      </w:pPr>
      <w:rPr>
        <w:rFonts w:hint="default" w:ascii="Wingdings" w:hAnsi="Wingdings"/>
      </w:rPr>
    </w:lvl>
  </w:abstractNum>
  <w:abstractNum w:abstractNumId="187">
    <w:nsid w:val="5D7C336E"/>
    <w:multiLevelType w:val="multilevel"/>
    <w:tmpl w:val="5D7C336E"/>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88">
    <w:nsid w:val="5E7D2FE0"/>
    <w:multiLevelType w:val="multilevel"/>
    <w:tmpl w:val="5E7D2FE0"/>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89">
    <w:nsid w:val="5F8074A1"/>
    <w:multiLevelType w:val="multilevel"/>
    <w:tmpl w:val="5F8074A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90">
    <w:nsid w:val="5FFD2A35"/>
    <w:multiLevelType w:val="multilevel"/>
    <w:tmpl w:val="5FFD2A35"/>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91">
    <w:nsid w:val="603D5B79"/>
    <w:multiLevelType w:val="multilevel"/>
    <w:tmpl w:val="603D5B79"/>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92">
    <w:nsid w:val="604D341A"/>
    <w:multiLevelType w:val="multilevel"/>
    <w:tmpl w:val="604D341A"/>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93">
    <w:nsid w:val="60DF2355"/>
    <w:multiLevelType w:val="multilevel"/>
    <w:tmpl w:val="60DF2355"/>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94">
    <w:nsid w:val="61070B83"/>
    <w:multiLevelType w:val="multilevel"/>
    <w:tmpl w:val="61070B83"/>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95">
    <w:nsid w:val="61BE0124"/>
    <w:multiLevelType w:val="multilevel"/>
    <w:tmpl w:val="61BE0124"/>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196">
    <w:nsid w:val="62256115"/>
    <w:multiLevelType w:val="multilevel"/>
    <w:tmpl w:val="62256115"/>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97">
    <w:nsid w:val="63CE2608"/>
    <w:multiLevelType w:val="multilevel"/>
    <w:tmpl w:val="63CE2608"/>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198">
    <w:nsid w:val="63D365E1"/>
    <w:multiLevelType w:val="multilevel"/>
    <w:tmpl w:val="63D365E1"/>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199">
    <w:nsid w:val="63E46D09"/>
    <w:multiLevelType w:val="multilevel"/>
    <w:tmpl w:val="63E46D09"/>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200">
    <w:nsid w:val="63E771F3"/>
    <w:multiLevelType w:val="multilevel"/>
    <w:tmpl w:val="63E771F3"/>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01">
    <w:nsid w:val="647A765B"/>
    <w:multiLevelType w:val="multilevel"/>
    <w:tmpl w:val="647A765B"/>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02">
    <w:nsid w:val="64D87BFA"/>
    <w:multiLevelType w:val="multilevel"/>
    <w:tmpl w:val="64D87BFA"/>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03">
    <w:nsid w:val="652801A5"/>
    <w:multiLevelType w:val="multilevel"/>
    <w:tmpl w:val="652801A5"/>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04">
    <w:nsid w:val="65C621D5"/>
    <w:multiLevelType w:val="multilevel"/>
    <w:tmpl w:val="65C621D5"/>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05">
    <w:nsid w:val="66226CC7"/>
    <w:multiLevelType w:val="multilevel"/>
    <w:tmpl w:val="66226CC7"/>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06">
    <w:nsid w:val="67D81F26"/>
    <w:multiLevelType w:val="multilevel"/>
    <w:tmpl w:val="67D81F26"/>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07">
    <w:nsid w:val="68AA19BC"/>
    <w:multiLevelType w:val="multilevel"/>
    <w:tmpl w:val="68AA19BC"/>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08">
    <w:nsid w:val="69CB4FAE"/>
    <w:multiLevelType w:val="multilevel"/>
    <w:tmpl w:val="69CB4FAE"/>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09">
    <w:nsid w:val="6AE75CE1"/>
    <w:multiLevelType w:val="multilevel"/>
    <w:tmpl w:val="6AE75CE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10">
    <w:nsid w:val="6C08354A"/>
    <w:multiLevelType w:val="multilevel"/>
    <w:tmpl w:val="6C08354A"/>
    <w:lvl w:ilvl="0" w:tentative="0">
      <w:start w:val="1"/>
      <w:numFmt w:val="bullet"/>
      <w:lvlText w:val=""/>
      <w:lvlJc w:val="left"/>
      <w:pPr>
        <w:tabs>
          <w:tab w:val="left" w:pos="846"/>
        </w:tabs>
        <w:ind w:left="846" w:hanging="420"/>
      </w:pPr>
      <w:rPr>
        <w:rFonts w:hint="default" w:ascii="Wingdings" w:hAnsi="Wingdings"/>
      </w:rPr>
    </w:lvl>
    <w:lvl w:ilvl="1" w:tentative="0">
      <w:start w:val="1"/>
      <w:numFmt w:val="bullet"/>
      <w:lvlText w:val=""/>
      <w:lvlJc w:val="left"/>
      <w:pPr>
        <w:tabs>
          <w:tab w:val="left" w:pos="891"/>
        </w:tabs>
        <w:ind w:left="891" w:hanging="420"/>
      </w:pPr>
      <w:rPr>
        <w:rFonts w:hint="default" w:ascii="Wingdings" w:hAnsi="Wingdings"/>
      </w:rPr>
    </w:lvl>
    <w:lvl w:ilvl="2" w:tentative="0">
      <w:start w:val="1"/>
      <w:numFmt w:val="bullet"/>
      <w:lvlText w:val=""/>
      <w:lvlJc w:val="left"/>
      <w:pPr>
        <w:tabs>
          <w:tab w:val="left" w:pos="1311"/>
        </w:tabs>
        <w:ind w:left="1311" w:hanging="420"/>
      </w:pPr>
      <w:rPr>
        <w:rFonts w:hint="default" w:ascii="Wingdings" w:hAnsi="Wingdings"/>
      </w:rPr>
    </w:lvl>
    <w:lvl w:ilvl="3" w:tentative="0">
      <w:start w:val="1"/>
      <w:numFmt w:val="bullet"/>
      <w:lvlText w:val=""/>
      <w:lvlJc w:val="left"/>
      <w:pPr>
        <w:tabs>
          <w:tab w:val="left" w:pos="1731"/>
        </w:tabs>
        <w:ind w:left="1731" w:hanging="420"/>
      </w:pPr>
      <w:rPr>
        <w:rFonts w:hint="default" w:ascii="Wingdings" w:hAnsi="Wingdings"/>
      </w:rPr>
    </w:lvl>
    <w:lvl w:ilvl="4" w:tentative="0">
      <w:start w:val="1"/>
      <w:numFmt w:val="bullet"/>
      <w:lvlText w:val=""/>
      <w:lvlJc w:val="left"/>
      <w:pPr>
        <w:tabs>
          <w:tab w:val="left" w:pos="2151"/>
        </w:tabs>
        <w:ind w:left="2151" w:hanging="420"/>
      </w:pPr>
      <w:rPr>
        <w:rFonts w:hint="default" w:ascii="Wingdings" w:hAnsi="Wingdings"/>
      </w:rPr>
    </w:lvl>
    <w:lvl w:ilvl="5" w:tentative="0">
      <w:start w:val="1"/>
      <w:numFmt w:val="bullet"/>
      <w:lvlText w:val=""/>
      <w:lvlJc w:val="left"/>
      <w:pPr>
        <w:tabs>
          <w:tab w:val="left" w:pos="2571"/>
        </w:tabs>
        <w:ind w:left="2571" w:hanging="420"/>
      </w:pPr>
      <w:rPr>
        <w:rFonts w:hint="default" w:ascii="Wingdings" w:hAnsi="Wingdings"/>
      </w:rPr>
    </w:lvl>
    <w:lvl w:ilvl="6" w:tentative="0">
      <w:start w:val="1"/>
      <w:numFmt w:val="bullet"/>
      <w:lvlText w:val=""/>
      <w:lvlJc w:val="left"/>
      <w:pPr>
        <w:tabs>
          <w:tab w:val="left" w:pos="2991"/>
        </w:tabs>
        <w:ind w:left="2991" w:hanging="420"/>
      </w:pPr>
      <w:rPr>
        <w:rFonts w:hint="default" w:ascii="Wingdings" w:hAnsi="Wingdings"/>
      </w:rPr>
    </w:lvl>
    <w:lvl w:ilvl="7" w:tentative="0">
      <w:start w:val="1"/>
      <w:numFmt w:val="bullet"/>
      <w:lvlText w:val=""/>
      <w:lvlJc w:val="left"/>
      <w:pPr>
        <w:tabs>
          <w:tab w:val="left" w:pos="3411"/>
        </w:tabs>
        <w:ind w:left="3411" w:hanging="420"/>
      </w:pPr>
      <w:rPr>
        <w:rFonts w:hint="default" w:ascii="Wingdings" w:hAnsi="Wingdings"/>
      </w:rPr>
    </w:lvl>
    <w:lvl w:ilvl="8" w:tentative="0">
      <w:start w:val="1"/>
      <w:numFmt w:val="bullet"/>
      <w:lvlText w:val=""/>
      <w:lvlJc w:val="left"/>
      <w:pPr>
        <w:tabs>
          <w:tab w:val="left" w:pos="3831"/>
        </w:tabs>
        <w:ind w:left="3831" w:hanging="420"/>
      </w:pPr>
      <w:rPr>
        <w:rFonts w:hint="default" w:ascii="Wingdings" w:hAnsi="Wingdings"/>
      </w:rPr>
    </w:lvl>
  </w:abstractNum>
  <w:abstractNum w:abstractNumId="211">
    <w:nsid w:val="6C0A1303"/>
    <w:multiLevelType w:val="multilevel"/>
    <w:tmpl w:val="6C0A1303"/>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12">
    <w:nsid w:val="6CAC4627"/>
    <w:multiLevelType w:val="multilevel"/>
    <w:tmpl w:val="6CAC4627"/>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13">
    <w:nsid w:val="6CBC31E8"/>
    <w:multiLevelType w:val="multilevel"/>
    <w:tmpl w:val="6CBC31E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14">
    <w:nsid w:val="6D4429B4"/>
    <w:multiLevelType w:val="multilevel"/>
    <w:tmpl w:val="6D4429B4"/>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15">
    <w:nsid w:val="6D7C08CE"/>
    <w:multiLevelType w:val="multilevel"/>
    <w:tmpl w:val="6D7C08CE"/>
    <w:lvl w:ilvl="0" w:tentative="0">
      <w:start w:val="1"/>
      <w:numFmt w:val="bullet"/>
      <w:lvlText w:val=""/>
      <w:lvlJc w:val="left"/>
      <w:pPr>
        <w:ind w:left="1560" w:hanging="420"/>
      </w:pPr>
      <w:rPr>
        <w:rFonts w:hint="default" w:ascii="Wingdings" w:hAnsi="Wingdings"/>
      </w:rPr>
    </w:lvl>
    <w:lvl w:ilvl="1" w:tentative="0">
      <w:start w:val="1"/>
      <w:numFmt w:val="bullet"/>
      <w:lvlText w:val=""/>
      <w:lvlJc w:val="left"/>
      <w:pPr>
        <w:ind w:left="1980" w:hanging="420"/>
      </w:pPr>
      <w:rPr>
        <w:rFonts w:hint="default" w:ascii="Wingdings" w:hAnsi="Wingdings"/>
      </w:rPr>
    </w:lvl>
    <w:lvl w:ilvl="2" w:tentative="0">
      <w:start w:val="1"/>
      <w:numFmt w:val="bullet"/>
      <w:lvlText w:val=""/>
      <w:lvlJc w:val="left"/>
      <w:pPr>
        <w:ind w:left="2400" w:hanging="420"/>
      </w:pPr>
      <w:rPr>
        <w:rFonts w:hint="default" w:ascii="Wingdings" w:hAnsi="Wingdings"/>
      </w:rPr>
    </w:lvl>
    <w:lvl w:ilvl="3" w:tentative="0">
      <w:start w:val="1"/>
      <w:numFmt w:val="bullet"/>
      <w:lvlText w:val=""/>
      <w:lvlJc w:val="left"/>
      <w:pPr>
        <w:ind w:left="2820" w:hanging="420"/>
      </w:pPr>
      <w:rPr>
        <w:rFonts w:hint="default" w:ascii="Wingdings" w:hAnsi="Wingdings"/>
      </w:rPr>
    </w:lvl>
    <w:lvl w:ilvl="4" w:tentative="0">
      <w:start w:val="1"/>
      <w:numFmt w:val="bullet"/>
      <w:lvlText w:val=""/>
      <w:lvlJc w:val="left"/>
      <w:pPr>
        <w:ind w:left="3240" w:hanging="420"/>
      </w:pPr>
      <w:rPr>
        <w:rFonts w:hint="default" w:ascii="Wingdings" w:hAnsi="Wingdings"/>
      </w:rPr>
    </w:lvl>
    <w:lvl w:ilvl="5" w:tentative="0">
      <w:start w:val="1"/>
      <w:numFmt w:val="bullet"/>
      <w:lvlText w:val=""/>
      <w:lvlJc w:val="left"/>
      <w:pPr>
        <w:ind w:left="3660" w:hanging="420"/>
      </w:pPr>
      <w:rPr>
        <w:rFonts w:hint="default" w:ascii="Wingdings" w:hAnsi="Wingdings"/>
      </w:rPr>
    </w:lvl>
    <w:lvl w:ilvl="6" w:tentative="0">
      <w:start w:val="1"/>
      <w:numFmt w:val="bullet"/>
      <w:lvlText w:val=""/>
      <w:lvlJc w:val="left"/>
      <w:pPr>
        <w:ind w:left="4080" w:hanging="420"/>
      </w:pPr>
      <w:rPr>
        <w:rFonts w:hint="default" w:ascii="Wingdings" w:hAnsi="Wingdings"/>
      </w:rPr>
    </w:lvl>
    <w:lvl w:ilvl="7" w:tentative="0">
      <w:start w:val="1"/>
      <w:numFmt w:val="bullet"/>
      <w:lvlText w:val=""/>
      <w:lvlJc w:val="left"/>
      <w:pPr>
        <w:ind w:left="4500" w:hanging="420"/>
      </w:pPr>
      <w:rPr>
        <w:rFonts w:hint="default" w:ascii="Wingdings" w:hAnsi="Wingdings"/>
      </w:rPr>
    </w:lvl>
    <w:lvl w:ilvl="8" w:tentative="0">
      <w:start w:val="1"/>
      <w:numFmt w:val="bullet"/>
      <w:lvlText w:val=""/>
      <w:lvlJc w:val="left"/>
      <w:pPr>
        <w:ind w:left="4920" w:hanging="420"/>
      </w:pPr>
      <w:rPr>
        <w:rFonts w:hint="default" w:ascii="Wingdings" w:hAnsi="Wingdings"/>
      </w:rPr>
    </w:lvl>
  </w:abstractNum>
  <w:abstractNum w:abstractNumId="216">
    <w:nsid w:val="6FE90C5A"/>
    <w:multiLevelType w:val="multilevel"/>
    <w:tmpl w:val="6FE90C5A"/>
    <w:lvl w:ilvl="0" w:tentative="0">
      <w:start w:val="1"/>
      <w:numFmt w:val="bullet"/>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17">
    <w:nsid w:val="701C208B"/>
    <w:multiLevelType w:val="multilevel"/>
    <w:tmpl w:val="701C208B"/>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18">
    <w:nsid w:val="71744443"/>
    <w:multiLevelType w:val="multilevel"/>
    <w:tmpl w:val="71744443"/>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19">
    <w:nsid w:val="72590E68"/>
    <w:multiLevelType w:val="multilevel"/>
    <w:tmpl w:val="72590E68"/>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20">
    <w:nsid w:val="72741AED"/>
    <w:multiLevelType w:val="multilevel"/>
    <w:tmpl w:val="72741AED"/>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21">
    <w:nsid w:val="72BE427D"/>
    <w:multiLevelType w:val="multilevel"/>
    <w:tmpl w:val="72BE427D"/>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22">
    <w:nsid w:val="7356793B"/>
    <w:multiLevelType w:val="multilevel"/>
    <w:tmpl w:val="7356793B"/>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23">
    <w:nsid w:val="74B21785"/>
    <w:multiLevelType w:val="multilevel"/>
    <w:tmpl w:val="74B21785"/>
    <w:lvl w:ilvl="0" w:tentative="0">
      <w:start w:val="1"/>
      <w:numFmt w:val="bullet"/>
      <w:lvlText w:val=""/>
      <w:lvlJc w:val="left"/>
      <w:pPr>
        <w:tabs>
          <w:tab w:val="left" w:pos="795"/>
        </w:tabs>
        <w:ind w:left="795"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24">
    <w:nsid w:val="74C44604"/>
    <w:multiLevelType w:val="multilevel"/>
    <w:tmpl w:val="74C44604"/>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225">
    <w:nsid w:val="759A5814"/>
    <w:multiLevelType w:val="multilevel"/>
    <w:tmpl w:val="759A5814"/>
    <w:lvl w:ilvl="0" w:tentative="0">
      <w:start w:val="1"/>
      <w:numFmt w:val="bullet"/>
      <w:lvlText w:val=""/>
      <w:lvlJc w:val="left"/>
      <w:pPr>
        <w:ind w:left="1215" w:hanging="420"/>
      </w:pPr>
      <w:rPr>
        <w:rFonts w:hint="default" w:ascii="Wingdings" w:hAnsi="Wingdings"/>
      </w:rPr>
    </w:lvl>
    <w:lvl w:ilvl="1" w:tentative="0">
      <w:start w:val="1"/>
      <w:numFmt w:val="bullet"/>
      <w:lvlText w:val=""/>
      <w:lvlJc w:val="left"/>
      <w:pPr>
        <w:ind w:left="1635" w:hanging="420"/>
      </w:pPr>
      <w:rPr>
        <w:rFonts w:hint="default" w:ascii="Wingdings" w:hAnsi="Wingdings"/>
      </w:rPr>
    </w:lvl>
    <w:lvl w:ilvl="2" w:tentative="0">
      <w:start w:val="1"/>
      <w:numFmt w:val="bullet"/>
      <w:lvlText w:val=""/>
      <w:lvlJc w:val="left"/>
      <w:pPr>
        <w:ind w:left="2055" w:hanging="420"/>
      </w:pPr>
      <w:rPr>
        <w:rFonts w:hint="default" w:ascii="Wingdings" w:hAnsi="Wingdings"/>
      </w:rPr>
    </w:lvl>
    <w:lvl w:ilvl="3" w:tentative="0">
      <w:start w:val="1"/>
      <w:numFmt w:val="bullet"/>
      <w:lvlText w:val=""/>
      <w:lvlJc w:val="left"/>
      <w:pPr>
        <w:ind w:left="2475" w:hanging="420"/>
      </w:pPr>
      <w:rPr>
        <w:rFonts w:hint="default" w:ascii="Wingdings" w:hAnsi="Wingdings"/>
      </w:rPr>
    </w:lvl>
    <w:lvl w:ilvl="4" w:tentative="0">
      <w:start w:val="1"/>
      <w:numFmt w:val="bullet"/>
      <w:lvlText w:val=""/>
      <w:lvlJc w:val="left"/>
      <w:pPr>
        <w:ind w:left="2895" w:hanging="420"/>
      </w:pPr>
      <w:rPr>
        <w:rFonts w:hint="default" w:ascii="Wingdings" w:hAnsi="Wingdings"/>
      </w:rPr>
    </w:lvl>
    <w:lvl w:ilvl="5" w:tentative="0">
      <w:start w:val="1"/>
      <w:numFmt w:val="bullet"/>
      <w:lvlText w:val=""/>
      <w:lvlJc w:val="left"/>
      <w:pPr>
        <w:ind w:left="3315" w:hanging="420"/>
      </w:pPr>
      <w:rPr>
        <w:rFonts w:hint="default" w:ascii="Wingdings" w:hAnsi="Wingdings"/>
      </w:rPr>
    </w:lvl>
    <w:lvl w:ilvl="6" w:tentative="0">
      <w:start w:val="1"/>
      <w:numFmt w:val="bullet"/>
      <w:lvlText w:val=""/>
      <w:lvlJc w:val="left"/>
      <w:pPr>
        <w:ind w:left="3735" w:hanging="420"/>
      </w:pPr>
      <w:rPr>
        <w:rFonts w:hint="default" w:ascii="Wingdings" w:hAnsi="Wingdings"/>
      </w:rPr>
    </w:lvl>
    <w:lvl w:ilvl="7" w:tentative="0">
      <w:start w:val="1"/>
      <w:numFmt w:val="bullet"/>
      <w:lvlText w:val=""/>
      <w:lvlJc w:val="left"/>
      <w:pPr>
        <w:ind w:left="4155" w:hanging="420"/>
      </w:pPr>
      <w:rPr>
        <w:rFonts w:hint="default" w:ascii="Wingdings" w:hAnsi="Wingdings"/>
      </w:rPr>
    </w:lvl>
    <w:lvl w:ilvl="8" w:tentative="0">
      <w:start w:val="1"/>
      <w:numFmt w:val="bullet"/>
      <w:lvlText w:val=""/>
      <w:lvlJc w:val="left"/>
      <w:pPr>
        <w:ind w:left="4575" w:hanging="420"/>
      </w:pPr>
      <w:rPr>
        <w:rFonts w:hint="default" w:ascii="Wingdings" w:hAnsi="Wingdings"/>
      </w:rPr>
    </w:lvl>
  </w:abstractNum>
  <w:abstractNum w:abstractNumId="226">
    <w:nsid w:val="759C233C"/>
    <w:multiLevelType w:val="multilevel"/>
    <w:tmpl w:val="759C233C"/>
    <w:lvl w:ilvl="0" w:tentative="0">
      <w:start w:val="1"/>
      <w:numFmt w:val="bullet"/>
      <w:lvlText w:val=""/>
      <w:lvlJc w:val="left"/>
      <w:pPr>
        <w:tabs>
          <w:tab w:val="left" w:pos="1170"/>
        </w:tabs>
        <w:ind w:left="1170" w:hanging="420"/>
      </w:pPr>
      <w:rPr>
        <w:rFonts w:hint="default" w:ascii="Wingdings" w:hAnsi="Wingdings"/>
      </w:rPr>
    </w:lvl>
    <w:lvl w:ilvl="1" w:tentative="0">
      <w:start w:val="1"/>
      <w:numFmt w:val="bullet"/>
      <w:lvlText w:val=""/>
      <w:lvlJc w:val="left"/>
      <w:pPr>
        <w:tabs>
          <w:tab w:val="left" w:pos="1245"/>
        </w:tabs>
        <w:ind w:left="1245" w:hanging="420"/>
      </w:pPr>
      <w:rPr>
        <w:rFonts w:hint="default" w:ascii="Wingdings" w:hAnsi="Wingdings"/>
      </w:rPr>
    </w:lvl>
    <w:lvl w:ilvl="2" w:tentative="0">
      <w:start w:val="1"/>
      <w:numFmt w:val="bullet"/>
      <w:lvlText w:val=""/>
      <w:lvlJc w:val="left"/>
      <w:pPr>
        <w:tabs>
          <w:tab w:val="left" w:pos="1665"/>
        </w:tabs>
        <w:ind w:left="1665" w:hanging="420"/>
      </w:pPr>
      <w:rPr>
        <w:rFonts w:hint="default" w:ascii="Wingdings" w:hAnsi="Wingdings"/>
      </w:rPr>
    </w:lvl>
    <w:lvl w:ilvl="3" w:tentative="0">
      <w:start w:val="1"/>
      <w:numFmt w:val="bullet"/>
      <w:lvlText w:val=""/>
      <w:lvlJc w:val="left"/>
      <w:pPr>
        <w:tabs>
          <w:tab w:val="left" w:pos="2085"/>
        </w:tabs>
        <w:ind w:left="2085" w:hanging="420"/>
      </w:pPr>
      <w:rPr>
        <w:rFonts w:hint="default" w:ascii="Wingdings" w:hAnsi="Wingdings"/>
      </w:rPr>
    </w:lvl>
    <w:lvl w:ilvl="4" w:tentative="0">
      <w:start w:val="1"/>
      <w:numFmt w:val="bullet"/>
      <w:lvlText w:val=""/>
      <w:lvlJc w:val="left"/>
      <w:pPr>
        <w:tabs>
          <w:tab w:val="left" w:pos="2505"/>
        </w:tabs>
        <w:ind w:left="2505" w:hanging="420"/>
      </w:pPr>
      <w:rPr>
        <w:rFonts w:hint="default" w:ascii="Wingdings" w:hAnsi="Wingdings"/>
      </w:rPr>
    </w:lvl>
    <w:lvl w:ilvl="5" w:tentative="0">
      <w:start w:val="1"/>
      <w:numFmt w:val="bullet"/>
      <w:lvlText w:val=""/>
      <w:lvlJc w:val="left"/>
      <w:pPr>
        <w:tabs>
          <w:tab w:val="left" w:pos="2925"/>
        </w:tabs>
        <w:ind w:left="2925" w:hanging="420"/>
      </w:pPr>
      <w:rPr>
        <w:rFonts w:hint="default" w:ascii="Wingdings" w:hAnsi="Wingdings"/>
      </w:rPr>
    </w:lvl>
    <w:lvl w:ilvl="6" w:tentative="0">
      <w:start w:val="1"/>
      <w:numFmt w:val="bullet"/>
      <w:lvlText w:val=""/>
      <w:lvlJc w:val="left"/>
      <w:pPr>
        <w:tabs>
          <w:tab w:val="left" w:pos="3345"/>
        </w:tabs>
        <w:ind w:left="3345" w:hanging="420"/>
      </w:pPr>
      <w:rPr>
        <w:rFonts w:hint="default" w:ascii="Wingdings" w:hAnsi="Wingdings"/>
      </w:rPr>
    </w:lvl>
    <w:lvl w:ilvl="7" w:tentative="0">
      <w:start w:val="1"/>
      <w:numFmt w:val="bullet"/>
      <w:lvlText w:val=""/>
      <w:lvlJc w:val="left"/>
      <w:pPr>
        <w:tabs>
          <w:tab w:val="left" w:pos="3765"/>
        </w:tabs>
        <w:ind w:left="3765" w:hanging="420"/>
      </w:pPr>
      <w:rPr>
        <w:rFonts w:hint="default" w:ascii="Wingdings" w:hAnsi="Wingdings"/>
      </w:rPr>
    </w:lvl>
    <w:lvl w:ilvl="8" w:tentative="0">
      <w:start w:val="1"/>
      <w:numFmt w:val="bullet"/>
      <w:lvlText w:val=""/>
      <w:lvlJc w:val="left"/>
      <w:pPr>
        <w:tabs>
          <w:tab w:val="left" w:pos="4185"/>
        </w:tabs>
        <w:ind w:left="4185" w:hanging="420"/>
      </w:pPr>
      <w:rPr>
        <w:rFonts w:hint="default" w:ascii="Wingdings" w:hAnsi="Wingdings"/>
      </w:rPr>
    </w:lvl>
  </w:abstractNum>
  <w:abstractNum w:abstractNumId="227">
    <w:nsid w:val="75E11C15"/>
    <w:multiLevelType w:val="multilevel"/>
    <w:tmpl w:val="75E11C15"/>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28">
    <w:nsid w:val="77F94E3C"/>
    <w:multiLevelType w:val="multilevel"/>
    <w:tmpl w:val="77F94E3C"/>
    <w:lvl w:ilvl="0" w:tentative="0">
      <w:start w:val="1"/>
      <w:numFmt w:val="bullet"/>
      <w:lvlText w:val=""/>
      <w:lvlJc w:val="left"/>
      <w:pPr>
        <w:tabs>
          <w:tab w:val="left" w:pos="1140"/>
        </w:tabs>
        <w:ind w:left="1140" w:hanging="420"/>
      </w:pPr>
      <w:rPr>
        <w:rFonts w:hint="default" w:ascii="Wingdings" w:hAnsi="Wingdings"/>
      </w:rPr>
    </w:lvl>
    <w:lvl w:ilvl="1" w:tentative="0">
      <w:start w:val="1"/>
      <w:numFmt w:val="bullet"/>
      <w:lvlText w:val=""/>
      <w:lvlJc w:val="left"/>
      <w:pPr>
        <w:tabs>
          <w:tab w:val="left" w:pos="891"/>
        </w:tabs>
        <w:ind w:left="891" w:hanging="420"/>
      </w:pPr>
      <w:rPr>
        <w:rFonts w:hint="default" w:ascii="Wingdings" w:hAnsi="Wingdings"/>
      </w:rPr>
    </w:lvl>
    <w:lvl w:ilvl="2" w:tentative="0">
      <w:start w:val="1"/>
      <w:numFmt w:val="bullet"/>
      <w:lvlText w:val=""/>
      <w:lvlJc w:val="left"/>
      <w:pPr>
        <w:tabs>
          <w:tab w:val="left" w:pos="1311"/>
        </w:tabs>
        <w:ind w:left="1311" w:hanging="420"/>
      </w:pPr>
      <w:rPr>
        <w:rFonts w:hint="default" w:ascii="Wingdings" w:hAnsi="Wingdings"/>
      </w:rPr>
    </w:lvl>
    <w:lvl w:ilvl="3" w:tentative="0">
      <w:start w:val="1"/>
      <w:numFmt w:val="bullet"/>
      <w:lvlText w:val=""/>
      <w:lvlJc w:val="left"/>
      <w:pPr>
        <w:tabs>
          <w:tab w:val="left" w:pos="1731"/>
        </w:tabs>
        <w:ind w:left="1731" w:hanging="420"/>
      </w:pPr>
      <w:rPr>
        <w:rFonts w:hint="default" w:ascii="Wingdings" w:hAnsi="Wingdings"/>
      </w:rPr>
    </w:lvl>
    <w:lvl w:ilvl="4" w:tentative="0">
      <w:start w:val="1"/>
      <w:numFmt w:val="bullet"/>
      <w:lvlText w:val=""/>
      <w:lvlJc w:val="left"/>
      <w:pPr>
        <w:tabs>
          <w:tab w:val="left" w:pos="2151"/>
        </w:tabs>
        <w:ind w:left="2151" w:hanging="420"/>
      </w:pPr>
      <w:rPr>
        <w:rFonts w:hint="default" w:ascii="Wingdings" w:hAnsi="Wingdings"/>
      </w:rPr>
    </w:lvl>
    <w:lvl w:ilvl="5" w:tentative="0">
      <w:start w:val="1"/>
      <w:numFmt w:val="bullet"/>
      <w:lvlText w:val=""/>
      <w:lvlJc w:val="left"/>
      <w:pPr>
        <w:tabs>
          <w:tab w:val="left" w:pos="2571"/>
        </w:tabs>
        <w:ind w:left="2571" w:hanging="420"/>
      </w:pPr>
      <w:rPr>
        <w:rFonts w:hint="default" w:ascii="Wingdings" w:hAnsi="Wingdings"/>
      </w:rPr>
    </w:lvl>
    <w:lvl w:ilvl="6" w:tentative="0">
      <w:start w:val="1"/>
      <w:numFmt w:val="bullet"/>
      <w:lvlText w:val=""/>
      <w:lvlJc w:val="left"/>
      <w:pPr>
        <w:tabs>
          <w:tab w:val="left" w:pos="2991"/>
        </w:tabs>
        <w:ind w:left="2991" w:hanging="420"/>
      </w:pPr>
      <w:rPr>
        <w:rFonts w:hint="default" w:ascii="Wingdings" w:hAnsi="Wingdings"/>
      </w:rPr>
    </w:lvl>
    <w:lvl w:ilvl="7" w:tentative="0">
      <w:start w:val="1"/>
      <w:numFmt w:val="bullet"/>
      <w:lvlText w:val=""/>
      <w:lvlJc w:val="left"/>
      <w:pPr>
        <w:tabs>
          <w:tab w:val="left" w:pos="3411"/>
        </w:tabs>
        <w:ind w:left="3411" w:hanging="420"/>
      </w:pPr>
      <w:rPr>
        <w:rFonts w:hint="default" w:ascii="Wingdings" w:hAnsi="Wingdings"/>
      </w:rPr>
    </w:lvl>
    <w:lvl w:ilvl="8" w:tentative="0">
      <w:start w:val="1"/>
      <w:numFmt w:val="bullet"/>
      <w:lvlText w:val=""/>
      <w:lvlJc w:val="left"/>
      <w:pPr>
        <w:tabs>
          <w:tab w:val="left" w:pos="3831"/>
        </w:tabs>
        <w:ind w:left="3831" w:hanging="420"/>
      </w:pPr>
      <w:rPr>
        <w:rFonts w:hint="default" w:ascii="Wingdings" w:hAnsi="Wingdings"/>
      </w:rPr>
    </w:lvl>
  </w:abstractNum>
  <w:abstractNum w:abstractNumId="229">
    <w:nsid w:val="78E672A4"/>
    <w:multiLevelType w:val="multilevel"/>
    <w:tmpl w:val="78E672A4"/>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30">
    <w:nsid w:val="79BC65A7"/>
    <w:multiLevelType w:val="multilevel"/>
    <w:tmpl w:val="79BC65A7"/>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31">
    <w:nsid w:val="7A2E0F44"/>
    <w:multiLevelType w:val="multilevel"/>
    <w:tmpl w:val="7A2E0F44"/>
    <w:lvl w:ilvl="0" w:tentative="0">
      <w:start w:val="8"/>
      <w:numFmt w:val="japaneseCounting"/>
      <w:lvlText w:val="%1、"/>
      <w:lvlJc w:val="left"/>
      <w:pPr>
        <w:tabs>
          <w:tab w:val="left" w:pos="945"/>
        </w:tabs>
        <w:ind w:left="945" w:hanging="420"/>
      </w:pPr>
      <w:rPr>
        <w:rFonts w:hint="default"/>
      </w:rPr>
    </w:lvl>
    <w:lvl w:ilvl="1" w:tentative="0">
      <w:start w:val="1"/>
      <w:numFmt w:val="lowerLetter"/>
      <w:lvlText w:val="%2)"/>
      <w:lvlJc w:val="left"/>
      <w:pPr>
        <w:tabs>
          <w:tab w:val="left" w:pos="1365"/>
        </w:tabs>
        <w:ind w:left="1365" w:hanging="420"/>
      </w:pPr>
    </w:lvl>
    <w:lvl w:ilvl="2" w:tentative="0">
      <w:start w:val="1"/>
      <w:numFmt w:val="lowerRoman"/>
      <w:lvlText w:val="%3."/>
      <w:lvlJc w:val="right"/>
      <w:pPr>
        <w:tabs>
          <w:tab w:val="left" w:pos="1785"/>
        </w:tabs>
        <w:ind w:left="1785" w:hanging="420"/>
      </w:pPr>
    </w:lvl>
    <w:lvl w:ilvl="3" w:tentative="0">
      <w:start w:val="1"/>
      <w:numFmt w:val="decimal"/>
      <w:lvlText w:val="%4."/>
      <w:lvlJc w:val="left"/>
      <w:pPr>
        <w:tabs>
          <w:tab w:val="left" w:pos="2205"/>
        </w:tabs>
        <w:ind w:left="2205" w:hanging="420"/>
      </w:pPr>
    </w:lvl>
    <w:lvl w:ilvl="4" w:tentative="0">
      <w:start w:val="1"/>
      <w:numFmt w:val="lowerLetter"/>
      <w:lvlText w:val="%5)"/>
      <w:lvlJc w:val="left"/>
      <w:pPr>
        <w:tabs>
          <w:tab w:val="left" w:pos="2625"/>
        </w:tabs>
        <w:ind w:left="2625" w:hanging="420"/>
      </w:pPr>
    </w:lvl>
    <w:lvl w:ilvl="5" w:tentative="0">
      <w:start w:val="1"/>
      <w:numFmt w:val="lowerRoman"/>
      <w:lvlText w:val="%6."/>
      <w:lvlJc w:val="right"/>
      <w:pPr>
        <w:tabs>
          <w:tab w:val="left" w:pos="3045"/>
        </w:tabs>
        <w:ind w:left="3045" w:hanging="420"/>
      </w:pPr>
    </w:lvl>
    <w:lvl w:ilvl="6" w:tentative="0">
      <w:start w:val="1"/>
      <w:numFmt w:val="decimal"/>
      <w:lvlText w:val="%7."/>
      <w:lvlJc w:val="left"/>
      <w:pPr>
        <w:tabs>
          <w:tab w:val="left" w:pos="3465"/>
        </w:tabs>
        <w:ind w:left="3465" w:hanging="420"/>
      </w:pPr>
    </w:lvl>
    <w:lvl w:ilvl="7" w:tentative="0">
      <w:start w:val="1"/>
      <w:numFmt w:val="lowerLetter"/>
      <w:lvlText w:val="%8)"/>
      <w:lvlJc w:val="left"/>
      <w:pPr>
        <w:tabs>
          <w:tab w:val="left" w:pos="3885"/>
        </w:tabs>
        <w:ind w:left="3885" w:hanging="420"/>
      </w:pPr>
    </w:lvl>
    <w:lvl w:ilvl="8" w:tentative="0">
      <w:start w:val="1"/>
      <w:numFmt w:val="lowerRoman"/>
      <w:lvlText w:val="%9."/>
      <w:lvlJc w:val="right"/>
      <w:pPr>
        <w:tabs>
          <w:tab w:val="left" w:pos="4305"/>
        </w:tabs>
        <w:ind w:left="4305" w:hanging="420"/>
      </w:pPr>
    </w:lvl>
  </w:abstractNum>
  <w:abstractNum w:abstractNumId="232">
    <w:nsid w:val="7ABB1F81"/>
    <w:multiLevelType w:val="multilevel"/>
    <w:tmpl w:val="7ABB1F8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33">
    <w:nsid w:val="7AD87491"/>
    <w:multiLevelType w:val="multilevel"/>
    <w:tmpl w:val="7AD87491"/>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34">
    <w:nsid w:val="7B065B91"/>
    <w:multiLevelType w:val="multilevel"/>
    <w:tmpl w:val="7B065B91"/>
    <w:lvl w:ilvl="0" w:tentative="0">
      <w:start w:val="1"/>
      <w:numFmt w:val="bullet"/>
      <w:lvlText w:val=""/>
      <w:lvlJc w:val="left"/>
      <w:pPr>
        <w:ind w:left="1140" w:hanging="420"/>
      </w:pPr>
      <w:rPr>
        <w:rFonts w:hint="default" w:ascii="Wingdings" w:hAnsi="Wingdings"/>
      </w:rPr>
    </w:lvl>
    <w:lvl w:ilvl="1" w:tentative="0">
      <w:start w:val="1"/>
      <w:numFmt w:val="bullet"/>
      <w:lvlText w:val=""/>
      <w:lvlJc w:val="left"/>
      <w:pPr>
        <w:ind w:left="1560" w:hanging="420"/>
      </w:pPr>
      <w:rPr>
        <w:rFonts w:hint="default" w:ascii="Wingdings" w:hAnsi="Wingdings"/>
      </w:rPr>
    </w:lvl>
    <w:lvl w:ilvl="2" w:tentative="0">
      <w:start w:val="1"/>
      <w:numFmt w:val="bullet"/>
      <w:lvlText w:val=""/>
      <w:lvlJc w:val="left"/>
      <w:pPr>
        <w:ind w:left="1980" w:hanging="420"/>
      </w:pPr>
      <w:rPr>
        <w:rFonts w:hint="default" w:ascii="Wingdings" w:hAnsi="Wingdings"/>
      </w:rPr>
    </w:lvl>
    <w:lvl w:ilvl="3" w:tentative="0">
      <w:start w:val="1"/>
      <w:numFmt w:val="bullet"/>
      <w:lvlText w:val=""/>
      <w:lvlJc w:val="left"/>
      <w:pPr>
        <w:ind w:left="2400" w:hanging="420"/>
      </w:pPr>
      <w:rPr>
        <w:rFonts w:hint="default" w:ascii="Wingdings" w:hAnsi="Wingdings"/>
      </w:rPr>
    </w:lvl>
    <w:lvl w:ilvl="4" w:tentative="0">
      <w:start w:val="1"/>
      <w:numFmt w:val="bullet"/>
      <w:lvlText w:val=""/>
      <w:lvlJc w:val="left"/>
      <w:pPr>
        <w:ind w:left="2820" w:hanging="420"/>
      </w:pPr>
      <w:rPr>
        <w:rFonts w:hint="default" w:ascii="Wingdings" w:hAnsi="Wingdings"/>
      </w:rPr>
    </w:lvl>
    <w:lvl w:ilvl="5" w:tentative="0">
      <w:start w:val="1"/>
      <w:numFmt w:val="bullet"/>
      <w:lvlText w:val=""/>
      <w:lvlJc w:val="left"/>
      <w:pPr>
        <w:ind w:left="3240" w:hanging="420"/>
      </w:pPr>
      <w:rPr>
        <w:rFonts w:hint="default" w:ascii="Wingdings" w:hAnsi="Wingdings"/>
      </w:rPr>
    </w:lvl>
    <w:lvl w:ilvl="6" w:tentative="0">
      <w:start w:val="1"/>
      <w:numFmt w:val="bullet"/>
      <w:lvlText w:val=""/>
      <w:lvlJc w:val="left"/>
      <w:pPr>
        <w:ind w:left="3660" w:hanging="420"/>
      </w:pPr>
      <w:rPr>
        <w:rFonts w:hint="default" w:ascii="Wingdings" w:hAnsi="Wingdings"/>
      </w:rPr>
    </w:lvl>
    <w:lvl w:ilvl="7" w:tentative="0">
      <w:start w:val="1"/>
      <w:numFmt w:val="bullet"/>
      <w:lvlText w:val=""/>
      <w:lvlJc w:val="left"/>
      <w:pPr>
        <w:ind w:left="4080" w:hanging="420"/>
      </w:pPr>
      <w:rPr>
        <w:rFonts w:hint="default" w:ascii="Wingdings" w:hAnsi="Wingdings"/>
      </w:rPr>
    </w:lvl>
    <w:lvl w:ilvl="8" w:tentative="0">
      <w:start w:val="1"/>
      <w:numFmt w:val="bullet"/>
      <w:lvlText w:val=""/>
      <w:lvlJc w:val="left"/>
      <w:pPr>
        <w:ind w:left="4500" w:hanging="420"/>
      </w:pPr>
      <w:rPr>
        <w:rFonts w:hint="default" w:ascii="Wingdings" w:hAnsi="Wingdings"/>
      </w:rPr>
    </w:lvl>
  </w:abstractNum>
  <w:abstractNum w:abstractNumId="235">
    <w:nsid w:val="7B5077D3"/>
    <w:multiLevelType w:val="multilevel"/>
    <w:tmpl w:val="7B5077D3"/>
    <w:lvl w:ilvl="0" w:tentative="0">
      <w:start w:val="1"/>
      <w:numFmt w:val="bullet"/>
      <w:lvlText w:val=""/>
      <w:lvlJc w:val="left"/>
      <w:pPr>
        <w:tabs>
          <w:tab w:val="left" w:pos="1170"/>
        </w:tabs>
        <w:ind w:left="1170"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36">
    <w:nsid w:val="7B5F4F1A"/>
    <w:multiLevelType w:val="multilevel"/>
    <w:tmpl w:val="7B5F4F1A"/>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37">
    <w:nsid w:val="7ECE7DDA"/>
    <w:multiLevelType w:val="multilevel"/>
    <w:tmpl w:val="7ECE7DDA"/>
    <w:lvl w:ilvl="0" w:tentative="0">
      <w:start w:val="1"/>
      <w:numFmt w:val="bullet"/>
      <w:lvlText w:val=""/>
      <w:lvlJc w:val="left"/>
      <w:pPr>
        <w:ind w:left="795" w:hanging="420"/>
      </w:pPr>
      <w:rPr>
        <w:rFonts w:hint="default" w:ascii="Wingdings" w:hAnsi="Wingdings"/>
      </w:rPr>
    </w:lvl>
    <w:lvl w:ilvl="1" w:tentative="0">
      <w:start w:val="1"/>
      <w:numFmt w:val="bullet"/>
      <w:lvlText w:val=""/>
      <w:lvlJc w:val="left"/>
      <w:pPr>
        <w:ind w:left="1215" w:hanging="420"/>
      </w:pPr>
      <w:rPr>
        <w:rFonts w:hint="default" w:ascii="Wingdings" w:hAnsi="Wingdings"/>
      </w:rPr>
    </w:lvl>
    <w:lvl w:ilvl="2" w:tentative="0">
      <w:start w:val="1"/>
      <w:numFmt w:val="bullet"/>
      <w:lvlText w:val=""/>
      <w:lvlJc w:val="left"/>
      <w:pPr>
        <w:ind w:left="1635" w:hanging="420"/>
      </w:pPr>
      <w:rPr>
        <w:rFonts w:hint="default" w:ascii="Wingdings" w:hAnsi="Wingdings"/>
      </w:rPr>
    </w:lvl>
    <w:lvl w:ilvl="3" w:tentative="0">
      <w:start w:val="1"/>
      <w:numFmt w:val="bullet"/>
      <w:lvlText w:val=""/>
      <w:lvlJc w:val="left"/>
      <w:pPr>
        <w:ind w:left="2055" w:hanging="420"/>
      </w:pPr>
      <w:rPr>
        <w:rFonts w:hint="default" w:ascii="Wingdings" w:hAnsi="Wingdings"/>
      </w:rPr>
    </w:lvl>
    <w:lvl w:ilvl="4" w:tentative="0">
      <w:start w:val="1"/>
      <w:numFmt w:val="bullet"/>
      <w:lvlText w:val=""/>
      <w:lvlJc w:val="left"/>
      <w:pPr>
        <w:ind w:left="2475" w:hanging="420"/>
      </w:pPr>
      <w:rPr>
        <w:rFonts w:hint="default" w:ascii="Wingdings" w:hAnsi="Wingdings"/>
      </w:rPr>
    </w:lvl>
    <w:lvl w:ilvl="5" w:tentative="0">
      <w:start w:val="1"/>
      <w:numFmt w:val="bullet"/>
      <w:lvlText w:val=""/>
      <w:lvlJc w:val="left"/>
      <w:pPr>
        <w:ind w:left="2895" w:hanging="420"/>
      </w:pPr>
      <w:rPr>
        <w:rFonts w:hint="default" w:ascii="Wingdings" w:hAnsi="Wingdings"/>
      </w:rPr>
    </w:lvl>
    <w:lvl w:ilvl="6" w:tentative="0">
      <w:start w:val="1"/>
      <w:numFmt w:val="bullet"/>
      <w:lvlText w:val=""/>
      <w:lvlJc w:val="left"/>
      <w:pPr>
        <w:ind w:left="3315" w:hanging="420"/>
      </w:pPr>
      <w:rPr>
        <w:rFonts w:hint="default" w:ascii="Wingdings" w:hAnsi="Wingdings"/>
      </w:rPr>
    </w:lvl>
    <w:lvl w:ilvl="7" w:tentative="0">
      <w:start w:val="1"/>
      <w:numFmt w:val="bullet"/>
      <w:lvlText w:val=""/>
      <w:lvlJc w:val="left"/>
      <w:pPr>
        <w:ind w:left="3735" w:hanging="420"/>
      </w:pPr>
      <w:rPr>
        <w:rFonts w:hint="default" w:ascii="Wingdings" w:hAnsi="Wingdings"/>
      </w:rPr>
    </w:lvl>
    <w:lvl w:ilvl="8" w:tentative="0">
      <w:start w:val="1"/>
      <w:numFmt w:val="bullet"/>
      <w:lvlText w:val=""/>
      <w:lvlJc w:val="left"/>
      <w:pPr>
        <w:ind w:left="4155" w:hanging="420"/>
      </w:pPr>
      <w:rPr>
        <w:rFonts w:hint="default" w:ascii="Wingdings" w:hAnsi="Wingdings"/>
      </w:rPr>
    </w:lvl>
  </w:abstractNum>
  <w:abstractNum w:abstractNumId="238">
    <w:nsid w:val="7FA07FF4"/>
    <w:multiLevelType w:val="multilevel"/>
    <w:tmpl w:val="7FA07FF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2"/>
  </w:num>
  <w:num w:numId="3">
    <w:abstractNumId w:val="3"/>
  </w:num>
  <w:num w:numId="4">
    <w:abstractNumId w:val="177"/>
  </w:num>
  <w:num w:numId="5">
    <w:abstractNumId w:val="0"/>
  </w:num>
  <w:num w:numId="6">
    <w:abstractNumId w:val="181"/>
  </w:num>
  <w:num w:numId="7">
    <w:abstractNumId w:val="135"/>
  </w:num>
  <w:num w:numId="8">
    <w:abstractNumId w:val="69"/>
  </w:num>
  <w:num w:numId="9">
    <w:abstractNumId w:val="231"/>
  </w:num>
  <w:num w:numId="10">
    <w:abstractNumId w:val="75"/>
  </w:num>
  <w:num w:numId="11">
    <w:abstractNumId w:val="20"/>
  </w:num>
  <w:num w:numId="12">
    <w:abstractNumId w:val="47"/>
  </w:num>
  <w:num w:numId="13">
    <w:abstractNumId w:val="12"/>
  </w:num>
  <w:num w:numId="14">
    <w:abstractNumId w:val="215"/>
  </w:num>
  <w:num w:numId="15">
    <w:abstractNumId w:val="203"/>
  </w:num>
  <w:num w:numId="16">
    <w:abstractNumId w:val="25"/>
  </w:num>
  <w:num w:numId="17">
    <w:abstractNumId w:val="29"/>
  </w:num>
  <w:num w:numId="18">
    <w:abstractNumId w:val="144"/>
  </w:num>
  <w:num w:numId="19">
    <w:abstractNumId w:val="13"/>
  </w:num>
  <w:num w:numId="20">
    <w:abstractNumId w:val="93"/>
  </w:num>
  <w:num w:numId="21">
    <w:abstractNumId w:val="84"/>
  </w:num>
  <w:num w:numId="22">
    <w:abstractNumId w:val="57"/>
  </w:num>
  <w:num w:numId="23">
    <w:abstractNumId w:val="80"/>
  </w:num>
  <w:num w:numId="24">
    <w:abstractNumId w:val="27"/>
  </w:num>
  <w:num w:numId="25">
    <w:abstractNumId w:val="99"/>
  </w:num>
  <w:num w:numId="26">
    <w:abstractNumId w:val="217"/>
  </w:num>
  <w:num w:numId="27">
    <w:abstractNumId w:val="104"/>
  </w:num>
  <w:num w:numId="28">
    <w:abstractNumId w:val="183"/>
  </w:num>
  <w:num w:numId="29">
    <w:abstractNumId w:val="61"/>
  </w:num>
  <w:num w:numId="30">
    <w:abstractNumId w:val="148"/>
  </w:num>
  <w:num w:numId="31">
    <w:abstractNumId w:val="100"/>
  </w:num>
  <w:num w:numId="32">
    <w:abstractNumId w:val="133"/>
  </w:num>
  <w:num w:numId="33">
    <w:abstractNumId w:val="146"/>
  </w:num>
  <w:num w:numId="34">
    <w:abstractNumId w:val="128"/>
  </w:num>
  <w:num w:numId="35">
    <w:abstractNumId w:val="116"/>
  </w:num>
  <w:num w:numId="36">
    <w:abstractNumId w:val="145"/>
  </w:num>
  <w:num w:numId="37">
    <w:abstractNumId w:val="227"/>
  </w:num>
  <w:num w:numId="38">
    <w:abstractNumId w:val="110"/>
  </w:num>
  <w:num w:numId="39">
    <w:abstractNumId w:val="7"/>
  </w:num>
  <w:num w:numId="40">
    <w:abstractNumId w:val="197"/>
  </w:num>
  <w:num w:numId="41">
    <w:abstractNumId w:val="28"/>
  </w:num>
  <w:num w:numId="42">
    <w:abstractNumId w:val="155"/>
  </w:num>
  <w:num w:numId="43">
    <w:abstractNumId w:val="129"/>
  </w:num>
  <w:num w:numId="44">
    <w:abstractNumId w:val="175"/>
  </w:num>
  <w:num w:numId="45">
    <w:abstractNumId w:val="82"/>
  </w:num>
  <w:num w:numId="46">
    <w:abstractNumId w:val="149"/>
  </w:num>
  <w:num w:numId="47">
    <w:abstractNumId w:val="195"/>
  </w:num>
  <w:num w:numId="48">
    <w:abstractNumId w:val="196"/>
  </w:num>
  <w:num w:numId="49">
    <w:abstractNumId w:val="79"/>
  </w:num>
  <w:num w:numId="50">
    <w:abstractNumId w:val="22"/>
  </w:num>
  <w:num w:numId="51">
    <w:abstractNumId w:val="37"/>
  </w:num>
  <w:num w:numId="52">
    <w:abstractNumId w:val="98"/>
  </w:num>
  <w:num w:numId="53">
    <w:abstractNumId w:val="152"/>
  </w:num>
  <w:num w:numId="54">
    <w:abstractNumId w:val="156"/>
  </w:num>
  <w:num w:numId="55">
    <w:abstractNumId w:val="171"/>
  </w:num>
  <w:num w:numId="56">
    <w:abstractNumId w:val="213"/>
  </w:num>
  <w:num w:numId="57">
    <w:abstractNumId w:val="92"/>
  </w:num>
  <w:num w:numId="58">
    <w:abstractNumId w:val="165"/>
  </w:num>
  <w:num w:numId="59">
    <w:abstractNumId w:val="238"/>
  </w:num>
  <w:num w:numId="60">
    <w:abstractNumId w:val="30"/>
  </w:num>
  <w:num w:numId="61">
    <w:abstractNumId w:val="115"/>
  </w:num>
  <w:num w:numId="62">
    <w:abstractNumId w:val="106"/>
  </w:num>
  <w:num w:numId="63">
    <w:abstractNumId w:val="38"/>
  </w:num>
  <w:num w:numId="64">
    <w:abstractNumId w:val="204"/>
  </w:num>
  <w:num w:numId="65">
    <w:abstractNumId w:val="74"/>
  </w:num>
  <w:num w:numId="66">
    <w:abstractNumId w:val="40"/>
  </w:num>
  <w:num w:numId="67">
    <w:abstractNumId w:val="19"/>
  </w:num>
  <w:num w:numId="68">
    <w:abstractNumId w:val="218"/>
  </w:num>
  <w:num w:numId="69">
    <w:abstractNumId w:val="94"/>
  </w:num>
  <w:num w:numId="70">
    <w:abstractNumId w:val="102"/>
  </w:num>
  <w:num w:numId="71">
    <w:abstractNumId w:val="53"/>
  </w:num>
  <w:num w:numId="72">
    <w:abstractNumId w:val="208"/>
  </w:num>
  <w:num w:numId="73">
    <w:abstractNumId w:val="187"/>
  </w:num>
  <w:num w:numId="74">
    <w:abstractNumId w:val="136"/>
  </w:num>
  <w:num w:numId="75">
    <w:abstractNumId w:val="132"/>
  </w:num>
  <w:num w:numId="76">
    <w:abstractNumId w:val="234"/>
  </w:num>
  <w:num w:numId="77">
    <w:abstractNumId w:val="59"/>
  </w:num>
  <w:num w:numId="78">
    <w:abstractNumId w:val="170"/>
  </w:num>
  <w:num w:numId="79">
    <w:abstractNumId w:val="107"/>
  </w:num>
  <w:num w:numId="80">
    <w:abstractNumId w:val="114"/>
  </w:num>
  <w:num w:numId="81">
    <w:abstractNumId w:val="51"/>
  </w:num>
  <w:num w:numId="82">
    <w:abstractNumId w:val="101"/>
  </w:num>
  <w:num w:numId="83">
    <w:abstractNumId w:val="221"/>
  </w:num>
  <w:num w:numId="84">
    <w:abstractNumId w:val="71"/>
  </w:num>
  <w:num w:numId="85">
    <w:abstractNumId w:val="182"/>
  </w:num>
  <w:num w:numId="86">
    <w:abstractNumId w:val="108"/>
  </w:num>
  <w:num w:numId="87">
    <w:abstractNumId w:val="58"/>
  </w:num>
  <w:num w:numId="88">
    <w:abstractNumId w:val="194"/>
  </w:num>
  <w:num w:numId="89">
    <w:abstractNumId w:val="173"/>
  </w:num>
  <w:num w:numId="90">
    <w:abstractNumId w:val="45"/>
  </w:num>
  <w:num w:numId="91">
    <w:abstractNumId w:val="49"/>
  </w:num>
  <w:num w:numId="92">
    <w:abstractNumId w:val="5"/>
  </w:num>
  <w:num w:numId="93">
    <w:abstractNumId w:val="23"/>
  </w:num>
  <w:num w:numId="94">
    <w:abstractNumId w:val="125"/>
  </w:num>
  <w:num w:numId="95">
    <w:abstractNumId w:val="190"/>
  </w:num>
  <w:num w:numId="96">
    <w:abstractNumId w:val="172"/>
  </w:num>
  <w:num w:numId="97">
    <w:abstractNumId w:val="233"/>
  </w:num>
  <w:num w:numId="98">
    <w:abstractNumId w:val="178"/>
  </w:num>
  <w:num w:numId="99">
    <w:abstractNumId w:val="41"/>
  </w:num>
  <w:num w:numId="100">
    <w:abstractNumId w:val="77"/>
  </w:num>
  <w:num w:numId="101">
    <w:abstractNumId w:val="55"/>
  </w:num>
  <w:num w:numId="102">
    <w:abstractNumId w:val="138"/>
  </w:num>
  <w:num w:numId="103">
    <w:abstractNumId w:val="205"/>
  </w:num>
  <w:num w:numId="104">
    <w:abstractNumId w:val="161"/>
  </w:num>
  <w:num w:numId="105">
    <w:abstractNumId w:val="141"/>
  </w:num>
  <w:num w:numId="106">
    <w:abstractNumId w:val="214"/>
  </w:num>
  <w:num w:numId="107">
    <w:abstractNumId w:val="225"/>
  </w:num>
  <w:num w:numId="108">
    <w:abstractNumId w:val="96"/>
  </w:num>
  <w:num w:numId="109">
    <w:abstractNumId w:val="73"/>
  </w:num>
  <w:num w:numId="110">
    <w:abstractNumId w:val="130"/>
  </w:num>
  <w:num w:numId="111">
    <w:abstractNumId w:val="191"/>
  </w:num>
  <w:num w:numId="112">
    <w:abstractNumId w:val="15"/>
  </w:num>
  <w:num w:numId="113">
    <w:abstractNumId w:val="87"/>
  </w:num>
  <w:num w:numId="114">
    <w:abstractNumId w:val="91"/>
  </w:num>
  <w:num w:numId="115">
    <w:abstractNumId w:val="232"/>
  </w:num>
  <w:num w:numId="116">
    <w:abstractNumId w:val="202"/>
  </w:num>
  <w:num w:numId="117">
    <w:abstractNumId w:val="66"/>
  </w:num>
  <w:num w:numId="118">
    <w:abstractNumId w:val="9"/>
  </w:num>
  <w:num w:numId="119">
    <w:abstractNumId w:val="201"/>
  </w:num>
  <w:num w:numId="120">
    <w:abstractNumId w:val="97"/>
  </w:num>
  <w:num w:numId="121">
    <w:abstractNumId w:val="189"/>
  </w:num>
  <w:num w:numId="122">
    <w:abstractNumId w:val="142"/>
  </w:num>
  <w:num w:numId="123">
    <w:abstractNumId w:val="65"/>
  </w:num>
  <w:num w:numId="124">
    <w:abstractNumId w:val="164"/>
  </w:num>
  <w:num w:numId="125">
    <w:abstractNumId w:val="88"/>
  </w:num>
  <w:num w:numId="126">
    <w:abstractNumId w:val="222"/>
  </w:num>
  <w:num w:numId="127">
    <w:abstractNumId w:val="151"/>
  </w:num>
  <w:num w:numId="128">
    <w:abstractNumId w:val="118"/>
  </w:num>
  <w:num w:numId="129">
    <w:abstractNumId w:val="72"/>
  </w:num>
  <w:num w:numId="130">
    <w:abstractNumId w:val="11"/>
  </w:num>
  <w:num w:numId="131">
    <w:abstractNumId w:val="207"/>
  </w:num>
  <w:num w:numId="132">
    <w:abstractNumId w:val="32"/>
  </w:num>
  <w:num w:numId="133">
    <w:abstractNumId w:val="179"/>
  </w:num>
  <w:num w:numId="134">
    <w:abstractNumId w:val="188"/>
  </w:num>
  <w:num w:numId="135">
    <w:abstractNumId w:val="103"/>
  </w:num>
  <w:num w:numId="136">
    <w:abstractNumId w:val="112"/>
  </w:num>
  <w:num w:numId="137">
    <w:abstractNumId w:val="60"/>
  </w:num>
  <w:num w:numId="138">
    <w:abstractNumId w:val="153"/>
  </w:num>
  <w:num w:numId="139">
    <w:abstractNumId w:val="26"/>
  </w:num>
  <w:num w:numId="140">
    <w:abstractNumId w:val="54"/>
  </w:num>
  <w:num w:numId="141">
    <w:abstractNumId w:val="44"/>
  </w:num>
  <w:num w:numId="142">
    <w:abstractNumId w:val="193"/>
  </w:num>
  <w:num w:numId="143">
    <w:abstractNumId w:val="42"/>
  </w:num>
  <w:num w:numId="144">
    <w:abstractNumId w:val="200"/>
  </w:num>
  <w:num w:numId="145">
    <w:abstractNumId w:val="78"/>
  </w:num>
  <w:num w:numId="146">
    <w:abstractNumId w:val="226"/>
  </w:num>
  <w:num w:numId="147">
    <w:abstractNumId w:val="63"/>
  </w:num>
  <w:num w:numId="148">
    <w:abstractNumId w:val="121"/>
  </w:num>
  <w:num w:numId="149">
    <w:abstractNumId w:val="140"/>
  </w:num>
  <w:num w:numId="150">
    <w:abstractNumId w:val="31"/>
  </w:num>
  <w:num w:numId="151">
    <w:abstractNumId w:val="235"/>
  </w:num>
  <w:num w:numId="152">
    <w:abstractNumId w:val="43"/>
  </w:num>
  <w:num w:numId="153">
    <w:abstractNumId w:val="169"/>
  </w:num>
  <w:num w:numId="154">
    <w:abstractNumId w:val="167"/>
  </w:num>
  <w:num w:numId="155">
    <w:abstractNumId w:val="216"/>
  </w:num>
  <w:num w:numId="156">
    <w:abstractNumId w:val="174"/>
  </w:num>
  <w:num w:numId="157">
    <w:abstractNumId w:val="184"/>
  </w:num>
  <w:num w:numId="158">
    <w:abstractNumId w:val="21"/>
  </w:num>
  <w:num w:numId="159">
    <w:abstractNumId w:val="36"/>
  </w:num>
  <w:num w:numId="160">
    <w:abstractNumId w:val="210"/>
  </w:num>
  <w:num w:numId="161">
    <w:abstractNumId w:val="147"/>
  </w:num>
  <w:num w:numId="162">
    <w:abstractNumId w:val="137"/>
  </w:num>
  <w:num w:numId="163">
    <w:abstractNumId w:val="127"/>
  </w:num>
  <w:num w:numId="164">
    <w:abstractNumId w:val="76"/>
  </w:num>
  <w:num w:numId="165">
    <w:abstractNumId w:val="228"/>
  </w:num>
  <w:num w:numId="166">
    <w:abstractNumId w:val="126"/>
  </w:num>
  <w:num w:numId="167">
    <w:abstractNumId w:val="185"/>
  </w:num>
  <w:num w:numId="168">
    <w:abstractNumId w:val="81"/>
  </w:num>
  <w:num w:numId="169">
    <w:abstractNumId w:val="160"/>
  </w:num>
  <w:num w:numId="170">
    <w:abstractNumId w:val="157"/>
  </w:num>
  <w:num w:numId="171">
    <w:abstractNumId w:val="163"/>
  </w:num>
  <w:num w:numId="172">
    <w:abstractNumId w:val="50"/>
  </w:num>
  <w:num w:numId="173">
    <w:abstractNumId w:val="4"/>
  </w:num>
  <w:num w:numId="174">
    <w:abstractNumId w:val="48"/>
  </w:num>
  <w:num w:numId="175">
    <w:abstractNumId w:val="85"/>
  </w:num>
  <w:num w:numId="176">
    <w:abstractNumId w:val="186"/>
  </w:num>
  <w:num w:numId="177">
    <w:abstractNumId w:val="39"/>
  </w:num>
  <w:num w:numId="178">
    <w:abstractNumId w:val="168"/>
  </w:num>
  <w:num w:numId="179">
    <w:abstractNumId w:val="162"/>
  </w:num>
  <w:num w:numId="180">
    <w:abstractNumId w:val="62"/>
  </w:num>
  <w:num w:numId="181">
    <w:abstractNumId w:val="90"/>
  </w:num>
  <w:num w:numId="182">
    <w:abstractNumId w:val="8"/>
  </w:num>
  <w:num w:numId="183">
    <w:abstractNumId w:val="223"/>
  </w:num>
  <w:num w:numId="184">
    <w:abstractNumId w:val="154"/>
  </w:num>
  <w:num w:numId="185">
    <w:abstractNumId w:val="83"/>
  </w:num>
  <w:num w:numId="186">
    <w:abstractNumId w:val="237"/>
  </w:num>
  <w:num w:numId="187">
    <w:abstractNumId w:val="46"/>
  </w:num>
  <w:num w:numId="188">
    <w:abstractNumId w:val="35"/>
  </w:num>
  <w:num w:numId="189">
    <w:abstractNumId w:val="16"/>
  </w:num>
  <w:num w:numId="190">
    <w:abstractNumId w:val="219"/>
  </w:num>
  <w:num w:numId="191">
    <w:abstractNumId w:val="159"/>
  </w:num>
  <w:num w:numId="192">
    <w:abstractNumId w:val="220"/>
  </w:num>
  <w:num w:numId="193">
    <w:abstractNumId w:val="209"/>
  </w:num>
  <w:num w:numId="194">
    <w:abstractNumId w:val="10"/>
  </w:num>
  <w:num w:numId="195">
    <w:abstractNumId w:val="70"/>
  </w:num>
  <w:num w:numId="196">
    <w:abstractNumId w:val="56"/>
  </w:num>
  <w:num w:numId="197">
    <w:abstractNumId w:val="176"/>
  </w:num>
  <w:num w:numId="198">
    <w:abstractNumId w:val="117"/>
  </w:num>
  <w:num w:numId="199">
    <w:abstractNumId w:val="229"/>
  </w:num>
  <w:num w:numId="200">
    <w:abstractNumId w:val="143"/>
  </w:num>
  <w:num w:numId="201">
    <w:abstractNumId w:val="211"/>
  </w:num>
  <w:num w:numId="202">
    <w:abstractNumId w:val="150"/>
  </w:num>
  <w:num w:numId="203">
    <w:abstractNumId w:val="166"/>
  </w:num>
  <w:num w:numId="204">
    <w:abstractNumId w:val="206"/>
  </w:num>
  <w:num w:numId="205">
    <w:abstractNumId w:val="230"/>
  </w:num>
  <w:num w:numId="206">
    <w:abstractNumId w:val="95"/>
  </w:num>
  <w:num w:numId="207">
    <w:abstractNumId w:val="192"/>
  </w:num>
  <w:num w:numId="208">
    <w:abstractNumId w:val="111"/>
  </w:num>
  <w:num w:numId="209">
    <w:abstractNumId w:val="199"/>
  </w:num>
  <w:num w:numId="210">
    <w:abstractNumId w:val="67"/>
  </w:num>
  <w:num w:numId="211">
    <w:abstractNumId w:val="86"/>
  </w:num>
  <w:num w:numId="212">
    <w:abstractNumId w:val="113"/>
  </w:num>
  <w:num w:numId="213">
    <w:abstractNumId w:val="158"/>
  </w:num>
  <w:num w:numId="214">
    <w:abstractNumId w:val="122"/>
  </w:num>
  <w:num w:numId="215">
    <w:abstractNumId w:val="131"/>
  </w:num>
  <w:num w:numId="216">
    <w:abstractNumId w:val="6"/>
  </w:num>
  <w:num w:numId="217">
    <w:abstractNumId w:val="119"/>
  </w:num>
  <w:num w:numId="218">
    <w:abstractNumId w:val="224"/>
  </w:num>
  <w:num w:numId="219">
    <w:abstractNumId w:val="123"/>
  </w:num>
  <w:num w:numId="220">
    <w:abstractNumId w:val="33"/>
  </w:num>
  <w:num w:numId="221">
    <w:abstractNumId w:val="105"/>
  </w:num>
  <w:num w:numId="222">
    <w:abstractNumId w:val="18"/>
  </w:num>
  <w:num w:numId="223">
    <w:abstractNumId w:val="198"/>
  </w:num>
  <w:num w:numId="224">
    <w:abstractNumId w:val="124"/>
  </w:num>
  <w:num w:numId="225">
    <w:abstractNumId w:val="34"/>
  </w:num>
  <w:num w:numId="226">
    <w:abstractNumId w:val="109"/>
  </w:num>
  <w:num w:numId="227">
    <w:abstractNumId w:val="89"/>
  </w:num>
  <w:num w:numId="228">
    <w:abstractNumId w:val="68"/>
  </w:num>
  <w:num w:numId="229">
    <w:abstractNumId w:val="236"/>
  </w:num>
  <w:num w:numId="230">
    <w:abstractNumId w:val="180"/>
  </w:num>
  <w:num w:numId="231">
    <w:abstractNumId w:val="14"/>
  </w:num>
  <w:num w:numId="232">
    <w:abstractNumId w:val="17"/>
  </w:num>
  <w:num w:numId="233">
    <w:abstractNumId w:val="134"/>
  </w:num>
  <w:num w:numId="234">
    <w:abstractNumId w:val="52"/>
  </w:num>
  <w:num w:numId="235">
    <w:abstractNumId w:val="24"/>
  </w:num>
  <w:num w:numId="236">
    <w:abstractNumId w:val="64"/>
  </w:num>
  <w:num w:numId="237">
    <w:abstractNumId w:val="139"/>
  </w:num>
  <w:num w:numId="238">
    <w:abstractNumId w:val="120"/>
  </w:num>
  <w:num w:numId="239">
    <w:abstractNumId w:val="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B163E3"/>
    <w:rsid w:val="4EB16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link w:val="20"/>
    <w:qFormat/>
    <w:uiPriority w:val="0"/>
    <w:pPr>
      <w:keepNext/>
      <w:keepLines/>
      <w:jc w:val="center"/>
      <w:outlineLvl w:val="0"/>
    </w:pPr>
    <w:rPr>
      <w:rFonts w:eastAsia="宋体"/>
      <w:b/>
      <w:kern w:val="44"/>
      <w:sz w:val="28"/>
    </w:rPr>
  </w:style>
  <w:style w:type="character" w:default="1" w:styleId="8">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pPr>
    <w:rPr>
      <w:sz w:val="18"/>
      <w:szCs w:val="18"/>
    </w:rPr>
  </w:style>
  <w:style w:type="paragraph" w:styleId="4">
    <w:name w:val="header"/>
    <w:basedOn w:val="1"/>
    <w:semiHidden/>
    <w:qFormat/>
    <w:uiPriority w:val="99"/>
    <w:pPr>
      <w:pBdr>
        <w:bottom w:val="single" w:color="auto" w:sz="6" w:space="1"/>
      </w:pBdr>
      <w:tabs>
        <w:tab w:val="center" w:pos="4153"/>
        <w:tab w:val="right" w:pos="8306"/>
      </w:tabs>
      <w:jc w:val="center"/>
    </w:pPr>
    <w:rPr>
      <w:sz w:val="18"/>
      <w:szCs w:val="18"/>
    </w:rPr>
  </w:style>
  <w:style w:type="paragraph" w:styleId="5">
    <w:name w:val="toc 1"/>
    <w:basedOn w:val="1"/>
    <w:next w:val="1"/>
    <w:qFormat/>
    <w:uiPriority w:val="0"/>
  </w:style>
  <w:style w:type="paragraph" w:styleId="6">
    <w:name w:val="Normal (Web)"/>
    <w:basedOn w:val="1"/>
    <w:unhideWhenUsed/>
    <w:qFormat/>
    <w:uiPriority w:val="99"/>
    <w:pPr>
      <w:spacing w:beforeAutospacing="1" w:after="0" w:afterAutospacing="1"/>
    </w:pPr>
    <w:rPr>
      <w:rFonts w:ascii="黑体" w:hAnsi="黑体"/>
      <w:sz w:val="24"/>
      <w:szCs w:val="24"/>
    </w:rPr>
  </w:style>
  <w:style w:type="character" w:styleId="9">
    <w:name w:val="page number"/>
    <w:basedOn w:val="8"/>
    <w:qFormat/>
    <w:uiPriority w:val="0"/>
  </w:style>
  <w:style w:type="character" w:styleId="10">
    <w:name w:val="Hyperlink"/>
    <w:basedOn w:val="8"/>
    <w:unhideWhenUsed/>
    <w:qFormat/>
    <w:uiPriority w:val="99"/>
    <w:rPr>
      <w:color w:val="0000FF"/>
      <w:u w:val="single"/>
    </w:rPr>
  </w:style>
  <w:style w:type="character" w:customStyle="1" w:styleId="11">
    <w:name w:val="Font Style12"/>
    <w:basedOn w:val="8"/>
    <w:qFormat/>
    <w:uiPriority w:val="99"/>
    <w:rPr>
      <w:rFonts w:ascii="宋体" w:eastAsia="宋体" w:cs="宋体"/>
      <w:sz w:val="20"/>
      <w:szCs w:val="20"/>
    </w:rPr>
  </w:style>
  <w:style w:type="paragraph" w:customStyle="1" w:styleId="12">
    <w:name w:val="Style2"/>
    <w:basedOn w:val="1"/>
    <w:qFormat/>
    <w:uiPriority w:val="99"/>
    <w:pPr>
      <w:widowControl w:val="0"/>
      <w:snapToGrid/>
      <w:spacing w:after="0" w:line="351" w:lineRule="exact"/>
      <w:ind w:firstLine="418"/>
      <w:jc w:val="both"/>
    </w:pPr>
    <w:rPr>
      <w:rFonts w:ascii="宋体" w:hAnsi="Calibri" w:eastAsia="宋体"/>
      <w:sz w:val="24"/>
      <w:szCs w:val="24"/>
    </w:rPr>
  </w:style>
  <w:style w:type="paragraph" w:customStyle="1" w:styleId="13">
    <w:name w:val="Style11"/>
    <w:basedOn w:val="1"/>
    <w:qFormat/>
    <w:uiPriority w:val="0"/>
    <w:rPr>
      <w:rFonts w:ascii="黑体" w:hAnsi="Calibri" w:eastAsia="黑体"/>
      <w:sz w:val="24"/>
    </w:rPr>
  </w:style>
  <w:style w:type="character" w:customStyle="1" w:styleId="14">
    <w:name w:val="Font Style19"/>
    <w:basedOn w:val="8"/>
    <w:qFormat/>
    <w:uiPriority w:val="0"/>
    <w:rPr>
      <w:rFonts w:ascii="黑体" w:eastAsia="黑体" w:cs="黑体"/>
      <w:sz w:val="14"/>
      <w:szCs w:val="14"/>
    </w:rPr>
  </w:style>
  <w:style w:type="paragraph" w:customStyle="1" w:styleId="15">
    <w:name w:val="Style14"/>
    <w:basedOn w:val="1"/>
    <w:qFormat/>
    <w:uiPriority w:val="0"/>
    <w:rPr>
      <w:rFonts w:ascii="黑体" w:hAnsi="Calibri" w:eastAsia="黑体"/>
      <w:sz w:val="24"/>
    </w:rPr>
  </w:style>
  <w:style w:type="paragraph" w:customStyle="1" w:styleId="16">
    <w:name w:val="Style7"/>
    <w:basedOn w:val="1"/>
    <w:qFormat/>
    <w:uiPriority w:val="0"/>
    <w:rPr>
      <w:rFonts w:ascii="黑体" w:hAnsi="Calibri" w:eastAsia="黑体"/>
      <w:sz w:val="24"/>
    </w:rPr>
  </w:style>
  <w:style w:type="character" w:customStyle="1" w:styleId="17">
    <w:name w:val="Font Style22"/>
    <w:basedOn w:val="8"/>
    <w:qFormat/>
    <w:uiPriority w:val="0"/>
    <w:rPr>
      <w:rFonts w:ascii="宋体" w:eastAsia="宋体" w:cs="宋体"/>
      <w:b/>
      <w:bCs/>
      <w:sz w:val="14"/>
      <w:szCs w:val="14"/>
    </w:rPr>
  </w:style>
  <w:style w:type="paragraph" w:customStyle="1" w:styleId="18">
    <w:name w:val="Style1"/>
    <w:basedOn w:val="1"/>
    <w:qFormat/>
    <w:uiPriority w:val="99"/>
    <w:pPr>
      <w:widowControl w:val="0"/>
      <w:snapToGrid/>
      <w:spacing w:after="0"/>
    </w:pPr>
    <w:rPr>
      <w:rFonts w:ascii="宋体" w:hAnsi="Calibri" w:eastAsia="宋体"/>
      <w:sz w:val="24"/>
      <w:szCs w:val="24"/>
    </w:rPr>
  </w:style>
  <w:style w:type="character" w:customStyle="1" w:styleId="19">
    <w:name w:val="Font Style11"/>
    <w:basedOn w:val="8"/>
    <w:qFormat/>
    <w:uiPriority w:val="99"/>
    <w:rPr>
      <w:rFonts w:ascii="宋体" w:eastAsia="宋体" w:cs="宋体"/>
      <w:b/>
      <w:bCs/>
      <w:spacing w:val="20"/>
      <w:sz w:val="26"/>
      <w:szCs w:val="26"/>
    </w:rPr>
  </w:style>
  <w:style w:type="character" w:customStyle="1" w:styleId="20">
    <w:name w:val="标题 1 字符"/>
    <w:link w:val="2"/>
    <w:qFormat/>
    <w:uiPriority w:val="0"/>
    <w:rPr>
      <w:rFonts w:eastAsia="宋体"/>
      <w:b/>
      <w:kern w:val="44"/>
      <w:sz w:val="28"/>
    </w:rPr>
  </w:style>
  <w:style w:type="paragraph" w:customStyle="1" w:styleId="21">
    <w:name w:val="Style3"/>
    <w:basedOn w:val="1"/>
    <w:qFormat/>
    <w:uiPriority w:val="99"/>
    <w:pPr>
      <w:widowControl w:val="0"/>
      <w:snapToGrid/>
      <w:spacing w:after="0"/>
    </w:pPr>
    <w:rPr>
      <w:rFonts w:ascii="宋体" w:hAnsi="Calibri" w:eastAsia="宋体"/>
      <w:sz w:val="24"/>
      <w:szCs w:val="24"/>
    </w:rPr>
  </w:style>
  <w:style w:type="character" w:customStyle="1" w:styleId="22">
    <w:name w:val="Font Style13"/>
    <w:basedOn w:val="8"/>
    <w:qFormat/>
    <w:uiPriority w:val="99"/>
    <w:rPr>
      <w:rFonts w:ascii="宋体" w:eastAsia="宋体" w:cs="宋体"/>
      <w:b/>
      <w:bCs/>
      <w:sz w:val="20"/>
      <w:szCs w:val="20"/>
    </w:rPr>
  </w:style>
  <w:style w:type="paragraph" w:customStyle="1" w:styleId="23">
    <w:name w:val="Style4"/>
    <w:basedOn w:val="1"/>
    <w:qFormat/>
    <w:uiPriority w:val="99"/>
    <w:pPr>
      <w:widowControl w:val="0"/>
      <w:snapToGrid/>
      <w:spacing w:after="0" w:line="349" w:lineRule="exact"/>
      <w:jc w:val="both"/>
    </w:pPr>
    <w:rPr>
      <w:rFonts w:ascii="宋体" w:hAnsi="Calibri" w:eastAsia="宋体"/>
      <w:sz w:val="24"/>
      <w:szCs w:val="24"/>
    </w:rPr>
  </w:style>
  <w:style w:type="character" w:customStyle="1" w:styleId="24">
    <w:name w:val="Font Style14"/>
    <w:basedOn w:val="8"/>
    <w:qFormat/>
    <w:uiPriority w:val="99"/>
    <w:rPr>
      <w:rFonts w:ascii="宋体" w:eastAsia="宋体" w:cs="宋体"/>
      <w:w w:val="70"/>
      <w:sz w:val="22"/>
      <w:szCs w:val="22"/>
    </w:rPr>
  </w:style>
  <w:style w:type="character" w:customStyle="1" w:styleId="25">
    <w:name w:val="17"/>
    <w:basedOn w:val="8"/>
    <w:qFormat/>
    <w:uiPriority w:val="0"/>
    <w:rPr>
      <w:rFonts w:hint="eastAsia" w:ascii="宋体" w:hAnsi="宋体" w:eastAsia="宋体" w:cs="宋体"/>
      <w:sz w:val="20"/>
      <w:szCs w:val="20"/>
    </w:rPr>
  </w:style>
  <w:style w:type="character" w:customStyle="1" w:styleId="26">
    <w:name w:val="18"/>
    <w:basedOn w:val="8"/>
    <w:qFormat/>
    <w:uiPriority w:val="0"/>
    <w:rPr>
      <w:rFonts w:hint="eastAsia" w:ascii="宋体" w:hAnsi="宋体" w:eastAsia="宋体" w:cs="宋体"/>
      <w:b/>
      <w:sz w:val="20"/>
      <w:szCs w:val="20"/>
    </w:rPr>
  </w:style>
  <w:style w:type="character" w:customStyle="1" w:styleId="27">
    <w:name w:val="19"/>
    <w:basedOn w:val="8"/>
    <w:qFormat/>
    <w:uiPriority w:val="0"/>
    <w:rPr>
      <w:rFonts w:hint="eastAsia" w:ascii="MS Gothic" w:hAnsi="MS Gothic" w:eastAsia="MS Gothic" w:cs="MS Gothic"/>
      <w:b/>
      <w:sz w:val="18"/>
      <w:szCs w:val="18"/>
    </w:rPr>
  </w:style>
  <w:style w:type="character" w:customStyle="1" w:styleId="28">
    <w:name w:val="20"/>
    <w:basedOn w:val="8"/>
    <w:qFormat/>
    <w:uiPriority w:val="0"/>
    <w:rPr>
      <w:rFonts w:hint="eastAsia" w:ascii="宋体" w:hAnsi="宋体" w:eastAsia="宋体" w:cs="宋体"/>
      <w:b/>
      <w:sz w:val="24"/>
      <w:szCs w:val="24"/>
    </w:rPr>
  </w:style>
  <w:style w:type="character" w:customStyle="1" w:styleId="29">
    <w:name w:val="Font Style16"/>
    <w:basedOn w:val="8"/>
    <w:qFormat/>
    <w:uiPriority w:val="0"/>
    <w:rPr>
      <w:rFonts w:ascii="黑体" w:eastAsia="黑体" w:cs="黑体"/>
      <w:b/>
      <w:bCs/>
      <w:sz w:val="26"/>
      <w:szCs w:val="26"/>
    </w:rPr>
  </w:style>
  <w:style w:type="character" w:customStyle="1" w:styleId="30">
    <w:name w:val="Font Style15"/>
    <w:basedOn w:val="8"/>
    <w:qFormat/>
    <w:uiPriority w:val="99"/>
    <w:rPr>
      <w:rFonts w:ascii="黑体" w:eastAsia="黑体" w:cs="黑体"/>
      <w:sz w:val="20"/>
      <w:szCs w:val="20"/>
    </w:rPr>
  </w:style>
  <w:style w:type="character" w:customStyle="1" w:styleId="31">
    <w:name w:val="Font Style18"/>
    <w:basedOn w:val="8"/>
    <w:qFormat/>
    <w:uiPriority w:val="99"/>
    <w:rPr>
      <w:rFonts w:ascii="黑体" w:eastAsia="黑体" w:cs="黑体"/>
      <w:b/>
      <w:bCs/>
      <w:sz w:val="16"/>
      <w:szCs w:val="16"/>
    </w:rPr>
  </w:style>
  <w:style w:type="paragraph" w:customStyle="1" w:styleId="32">
    <w:name w:val="Style5"/>
    <w:basedOn w:val="1"/>
    <w:qFormat/>
    <w:uiPriority w:val="0"/>
    <w:pPr>
      <w:spacing w:line="680" w:lineRule="exact"/>
      <w:ind w:firstLine="410"/>
    </w:pPr>
    <w:rPr>
      <w:rFonts w:ascii="宋体" w:hAnsi="Calibri"/>
      <w:sz w:val="24"/>
    </w:rPr>
  </w:style>
  <w:style w:type="character" w:customStyle="1" w:styleId="33">
    <w:name w:val="Font Style17"/>
    <w:basedOn w:val="8"/>
    <w:qFormat/>
    <w:uiPriority w:val="99"/>
    <w:rPr>
      <w:rFonts w:ascii="宋体" w:eastAsia="宋体" w:cs="宋体"/>
      <w:b/>
      <w:bCs/>
      <w:i/>
      <w:iCs/>
      <w:spacing w:val="10"/>
      <w:sz w:val="20"/>
      <w:szCs w:val="20"/>
    </w:rPr>
  </w:style>
  <w:style w:type="character" w:customStyle="1" w:styleId="34">
    <w:name w:val="Font Style20"/>
    <w:basedOn w:val="8"/>
    <w:qFormat/>
    <w:uiPriority w:val="99"/>
    <w:rPr>
      <w:rFonts w:ascii="宋体" w:eastAsia="宋体" w:cs="宋体"/>
      <w:sz w:val="20"/>
      <w:szCs w:val="20"/>
    </w:rPr>
  </w:style>
  <w:style w:type="paragraph" w:customStyle="1" w:styleId="35">
    <w:name w:val="Style6"/>
    <w:basedOn w:val="1"/>
    <w:qFormat/>
    <w:uiPriority w:val="99"/>
    <w:rPr>
      <w:rFonts w:ascii="MingLiU" w:hAnsi="Calibri" w:eastAsia="MingLiU"/>
      <w:sz w:val="24"/>
    </w:rPr>
  </w:style>
  <w:style w:type="paragraph" w:customStyle="1" w:styleId="36">
    <w:name w:val="Style9"/>
    <w:basedOn w:val="1"/>
    <w:qFormat/>
    <w:uiPriority w:val="99"/>
    <w:rPr>
      <w:rFonts w:ascii="宋体" w:hAnsi="Calibri"/>
      <w:sz w:val="24"/>
    </w:rPr>
  </w:style>
  <w:style w:type="paragraph" w:customStyle="1" w:styleId="37">
    <w:name w:val="Style8"/>
    <w:basedOn w:val="1"/>
    <w:qFormat/>
    <w:uiPriority w:val="99"/>
    <w:rPr>
      <w:rFonts w:ascii="宋体" w:hAnsi="Calibri"/>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44</Pages>
  <Words>0</Words>
  <Characters>0</Characters>
  <Lines>0</Lines>
  <Paragraphs>0</Paragraphs>
  <TotalTime>3</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2026-08-24T02:20:00Z</dcterms:created>
  <dc:creator>YCC</dc:creator>
  <cp:lastModifiedBy>YCC</cp:lastModifiedBy>
  <dcterms:modified xsi:type="dcterms:W3CDTF">2026-08-24T02:23:54Z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E4992CD4D161444895BD808CFC754032_11</vt:lpwstr>
  </property>
  <property fmtid="{D5CDD505-2E9C-101B-9397-08002B2CF9AE}" pid="4" name="KSOTemplateDocerSaveRecord">
    <vt:lpwstr>eyJoZGlkIjoiZTljMGQxOTg2Njc4ODlmMzYwMGFkOWE2YzhhNjk4M2MiLCJ1c2VySWQiOiIyMDYzNDM3NTAifQ==</vt:lpwstr>
  </property>
</Properties>
</file>