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FB6056" w14:textId="77777777" w:rsidR="0054039B" w:rsidRDefault="00C80474">
      <w:pPr>
        <w:spacing w:line="220" w:lineRule="atLeast"/>
        <w:jc w:val="center"/>
        <w:rPr>
          <w:sz w:val="32"/>
          <w:szCs w:val="32"/>
        </w:rPr>
      </w:pPr>
      <w:r>
        <w:rPr>
          <w:rFonts w:hint="eastAsia"/>
          <w:sz w:val="32"/>
          <w:szCs w:val="32"/>
        </w:rPr>
        <w:t>2022</w:t>
      </w:r>
      <w:r>
        <w:rPr>
          <w:rFonts w:hint="eastAsia"/>
          <w:sz w:val="32"/>
          <w:szCs w:val="32"/>
        </w:rPr>
        <w:t>年</w:t>
      </w:r>
      <w:r>
        <w:rPr>
          <w:rFonts w:hint="eastAsia"/>
          <w:sz w:val="32"/>
          <w:szCs w:val="32"/>
        </w:rPr>
        <w:t>11</w:t>
      </w:r>
      <w:r>
        <w:rPr>
          <w:rFonts w:hint="eastAsia"/>
          <w:sz w:val="32"/>
          <w:szCs w:val="32"/>
        </w:rPr>
        <w:t>月自主定价项目申请汇总表</w:t>
      </w:r>
    </w:p>
    <w:p w14:paraId="0FABBE0E" w14:textId="77777777" w:rsidR="0054039B" w:rsidRDefault="00C80474">
      <w:pPr>
        <w:spacing w:line="220" w:lineRule="atLeast"/>
        <w:rPr>
          <w:sz w:val="24"/>
          <w:szCs w:val="24"/>
        </w:rPr>
      </w:pPr>
      <w:r>
        <w:rPr>
          <w:rFonts w:hint="eastAsia"/>
          <w:sz w:val="24"/>
          <w:szCs w:val="24"/>
        </w:rPr>
        <w:t>申请部门：男科（男性生殖与性医学中心）</w:t>
      </w:r>
    </w:p>
    <w:tbl>
      <w:tblPr>
        <w:tblStyle w:val="a7"/>
        <w:tblW w:w="4971" w:type="pct"/>
        <w:tblLayout w:type="fixed"/>
        <w:tblLook w:val="04A0" w:firstRow="1" w:lastRow="0" w:firstColumn="1" w:lastColumn="0" w:noHBand="0" w:noVBand="1"/>
      </w:tblPr>
      <w:tblGrid>
        <w:gridCol w:w="558"/>
        <w:gridCol w:w="1823"/>
        <w:gridCol w:w="3682"/>
        <w:gridCol w:w="1417"/>
        <w:gridCol w:w="993"/>
      </w:tblGrid>
      <w:tr w:rsidR="007F274D" w14:paraId="06C9B343" w14:textId="77777777" w:rsidTr="00CD056A">
        <w:trPr>
          <w:trHeight w:val="879"/>
        </w:trPr>
        <w:tc>
          <w:tcPr>
            <w:tcW w:w="329" w:type="pct"/>
            <w:vAlign w:val="center"/>
          </w:tcPr>
          <w:p w14:paraId="4AA6C766" w14:textId="77777777" w:rsidR="007F274D" w:rsidRDefault="007F274D">
            <w:pPr>
              <w:spacing w:after="0" w:line="276" w:lineRule="auto"/>
              <w:jc w:val="center"/>
              <w:rPr>
                <w:color w:val="000000" w:themeColor="text1"/>
                <w:sz w:val="21"/>
                <w:szCs w:val="21"/>
              </w:rPr>
            </w:pPr>
            <w:r>
              <w:rPr>
                <w:color w:val="000000" w:themeColor="text1"/>
                <w:sz w:val="21"/>
                <w:szCs w:val="21"/>
              </w:rPr>
              <w:t>序号</w:t>
            </w:r>
          </w:p>
        </w:tc>
        <w:tc>
          <w:tcPr>
            <w:tcW w:w="1076" w:type="pct"/>
            <w:vAlign w:val="center"/>
          </w:tcPr>
          <w:p w14:paraId="7B3C6340" w14:textId="77777777" w:rsidR="007F274D" w:rsidRDefault="007F274D">
            <w:pPr>
              <w:spacing w:after="0" w:line="276" w:lineRule="auto"/>
              <w:jc w:val="center"/>
              <w:rPr>
                <w:color w:val="000000" w:themeColor="text1"/>
                <w:sz w:val="21"/>
                <w:szCs w:val="21"/>
              </w:rPr>
            </w:pPr>
            <w:r>
              <w:rPr>
                <w:color w:val="000000" w:themeColor="text1"/>
                <w:sz w:val="21"/>
                <w:szCs w:val="21"/>
              </w:rPr>
              <w:t>项目名称</w:t>
            </w:r>
          </w:p>
        </w:tc>
        <w:tc>
          <w:tcPr>
            <w:tcW w:w="2173" w:type="pct"/>
            <w:vAlign w:val="center"/>
          </w:tcPr>
          <w:p w14:paraId="56B88E3A" w14:textId="77777777" w:rsidR="007F274D" w:rsidRDefault="007F274D">
            <w:pPr>
              <w:spacing w:after="0" w:line="276" w:lineRule="auto"/>
              <w:jc w:val="center"/>
              <w:rPr>
                <w:color w:val="000000" w:themeColor="text1"/>
                <w:sz w:val="21"/>
                <w:szCs w:val="21"/>
              </w:rPr>
            </w:pPr>
            <w:r>
              <w:rPr>
                <w:color w:val="000000" w:themeColor="text1"/>
                <w:sz w:val="21"/>
                <w:szCs w:val="21"/>
              </w:rPr>
              <w:t>项目内涵</w:t>
            </w:r>
          </w:p>
        </w:tc>
        <w:tc>
          <w:tcPr>
            <w:tcW w:w="836" w:type="pct"/>
            <w:vAlign w:val="center"/>
          </w:tcPr>
          <w:p w14:paraId="01352A34" w14:textId="77777777" w:rsidR="007F274D" w:rsidRDefault="007F274D">
            <w:pPr>
              <w:spacing w:after="0" w:line="276" w:lineRule="auto"/>
              <w:jc w:val="center"/>
              <w:rPr>
                <w:color w:val="000000" w:themeColor="text1"/>
                <w:sz w:val="21"/>
                <w:szCs w:val="21"/>
              </w:rPr>
            </w:pPr>
            <w:r>
              <w:rPr>
                <w:rFonts w:hint="eastAsia"/>
                <w:color w:val="000000" w:themeColor="text1"/>
                <w:sz w:val="21"/>
                <w:szCs w:val="21"/>
              </w:rPr>
              <w:t>价格</w:t>
            </w:r>
          </w:p>
        </w:tc>
        <w:tc>
          <w:tcPr>
            <w:tcW w:w="587" w:type="pct"/>
            <w:vAlign w:val="center"/>
          </w:tcPr>
          <w:p w14:paraId="6FA0CC47" w14:textId="77777777" w:rsidR="007F274D" w:rsidRDefault="007F274D">
            <w:pPr>
              <w:spacing w:after="0" w:line="276" w:lineRule="auto"/>
              <w:jc w:val="center"/>
              <w:rPr>
                <w:color w:val="000000" w:themeColor="text1"/>
                <w:sz w:val="21"/>
                <w:szCs w:val="21"/>
              </w:rPr>
            </w:pPr>
            <w:r>
              <w:rPr>
                <w:color w:val="000000" w:themeColor="text1"/>
                <w:sz w:val="21"/>
                <w:szCs w:val="21"/>
              </w:rPr>
              <w:t>单位</w:t>
            </w:r>
          </w:p>
        </w:tc>
      </w:tr>
      <w:tr w:rsidR="007F274D" w14:paraId="0D94DCD3" w14:textId="77777777" w:rsidTr="00CD056A">
        <w:tc>
          <w:tcPr>
            <w:tcW w:w="329" w:type="pct"/>
            <w:vAlign w:val="center"/>
          </w:tcPr>
          <w:p w14:paraId="02EECCE9" w14:textId="77777777" w:rsidR="007F274D" w:rsidRDefault="007F274D">
            <w:pPr>
              <w:spacing w:after="0" w:line="276" w:lineRule="auto"/>
              <w:jc w:val="center"/>
              <w:rPr>
                <w:color w:val="000000" w:themeColor="text1"/>
                <w:sz w:val="21"/>
                <w:szCs w:val="21"/>
              </w:rPr>
            </w:pPr>
            <w:r>
              <w:rPr>
                <w:color w:val="000000" w:themeColor="text1"/>
                <w:sz w:val="21"/>
                <w:szCs w:val="21"/>
              </w:rPr>
              <w:t>1</w:t>
            </w:r>
          </w:p>
        </w:tc>
        <w:tc>
          <w:tcPr>
            <w:tcW w:w="1076" w:type="pct"/>
            <w:vAlign w:val="center"/>
          </w:tcPr>
          <w:p w14:paraId="1E37C9A2" w14:textId="77777777" w:rsidR="007F274D" w:rsidRDefault="007F274D" w:rsidP="00854BD3">
            <w:pPr>
              <w:spacing w:after="0" w:line="276" w:lineRule="auto"/>
              <w:jc w:val="both"/>
              <w:rPr>
                <w:color w:val="000000" w:themeColor="text1"/>
                <w:sz w:val="21"/>
                <w:szCs w:val="21"/>
              </w:rPr>
            </w:pPr>
            <w:r>
              <w:rPr>
                <w:rFonts w:ascii="宋体" w:eastAsia="宋体" w:hAnsi="宋体" w:cs="宋体" w:hint="eastAsia"/>
                <w:color w:val="000000" w:themeColor="text1"/>
                <w:sz w:val="21"/>
                <w:szCs w:val="21"/>
              </w:rPr>
              <w:t>显微外科输精管套叠附睾小管重建术</w:t>
            </w:r>
          </w:p>
        </w:tc>
        <w:tc>
          <w:tcPr>
            <w:tcW w:w="2173" w:type="pct"/>
            <w:vAlign w:val="center"/>
          </w:tcPr>
          <w:p w14:paraId="5D3F0E2A" w14:textId="77777777" w:rsidR="007F274D" w:rsidRDefault="007F274D" w:rsidP="00854BD3">
            <w:pPr>
              <w:spacing w:after="0" w:line="276" w:lineRule="auto"/>
              <w:jc w:val="both"/>
              <w:rPr>
                <w:color w:val="000000" w:themeColor="text1"/>
                <w:sz w:val="21"/>
                <w:szCs w:val="21"/>
              </w:rPr>
            </w:pPr>
            <w:r>
              <w:rPr>
                <w:rFonts w:ascii="宋体" w:eastAsia="宋体" w:hAnsi="宋体" w:cs="宋体" w:hint="eastAsia"/>
                <w:color w:val="000000" w:themeColor="text1"/>
                <w:sz w:val="21"/>
                <w:szCs w:val="21"/>
              </w:rPr>
              <w:t>适用于附睾梗阻引起的不孕不育无精子症患者。</w:t>
            </w:r>
          </w:p>
        </w:tc>
        <w:tc>
          <w:tcPr>
            <w:tcW w:w="836" w:type="pct"/>
            <w:vAlign w:val="center"/>
          </w:tcPr>
          <w:p w14:paraId="570F4895" w14:textId="77777777" w:rsidR="007F274D" w:rsidRDefault="007F274D">
            <w:pPr>
              <w:spacing w:after="0" w:line="276" w:lineRule="auto"/>
              <w:jc w:val="center"/>
              <w:rPr>
                <w:color w:val="000000" w:themeColor="text1"/>
                <w:sz w:val="21"/>
                <w:szCs w:val="21"/>
              </w:rPr>
            </w:pPr>
            <w:r>
              <w:rPr>
                <w:rFonts w:hint="eastAsia"/>
                <w:color w:val="000000" w:themeColor="text1"/>
                <w:sz w:val="21"/>
                <w:szCs w:val="21"/>
              </w:rPr>
              <w:t>6</w:t>
            </w:r>
            <w:r>
              <w:rPr>
                <w:color w:val="000000" w:themeColor="text1"/>
                <w:sz w:val="21"/>
                <w:szCs w:val="21"/>
              </w:rPr>
              <w:t>98</w:t>
            </w:r>
            <w:r>
              <w:rPr>
                <w:rFonts w:hint="eastAsia"/>
                <w:color w:val="000000" w:themeColor="text1"/>
                <w:sz w:val="21"/>
                <w:szCs w:val="21"/>
              </w:rPr>
              <w:t>0</w:t>
            </w:r>
            <w:r>
              <w:rPr>
                <w:rFonts w:hint="eastAsia"/>
                <w:color w:val="000000" w:themeColor="text1"/>
                <w:sz w:val="21"/>
                <w:szCs w:val="21"/>
              </w:rPr>
              <w:t>元</w:t>
            </w:r>
          </w:p>
        </w:tc>
        <w:tc>
          <w:tcPr>
            <w:tcW w:w="587" w:type="pct"/>
            <w:vAlign w:val="center"/>
          </w:tcPr>
          <w:p w14:paraId="0060687B" w14:textId="77777777" w:rsidR="007F274D" w:rsidRDefault="007F274D">
            <w:pPr>
              <w:spacing w:after="0" w:line="276" w:lineRule="auto"/>
              <w:jc w:val="center"/>
              <w:rPr>
                <w:rFonts w:ascii="宋体" w:eastAsia="宋体" w:hAnsi="宋体" w:cs="宋体"/>
                <w:sz w:val="20"/>
                <w:szCs w:val="20"/>
              </w:rPr>
            </w:pPr>
            <w:r>
              <w:rPr>
                <w:rFonts w:ascii="宋体" w:eastAsia="宋体" w:hAnsi="宋体" w:cs="宋体"/>
                <w:sz w:val="20"/>
                <w:szCs w:val="20"/>
              </w:rPr>
              <w:t>单侧</w:t>
            </w:r>
          </w:p>
        </w:tc>
      </w:tr>
      <w:tr w:rsidR="007F274D" w14:paraId="144AFFD1" w14:textId="77777777" w:rsidTr="00CD056A">
        <w:trPr>
          <w:trHeight w:val="790"/>
        </w:trPr>
        <w:tc>
          <w:tcPr>
            <w:tcW w:w="329" w:type="pct"/>
            <w:vAlign w:val="center"/>
          </w:tcPr>
          <w:p w14:paraId="22E84F97" w14:textId="77777777" w:rsidR="007F274D" w:rsidRDefault="007F274D">
            <w:pPr>
              <w:spacing w:after="0" w:line="276" w:lineRule="auto"/>
              <w:jc w:val="center"/>
              <w:rPr>
                <w:color w:val="000000" w:themeColor="text1"/>
                <w:sz w:val="21"/>
                <w:szCs w:val="21"/>
              </w:rPr>
            </w:pPr>
            <w:r>
              <w:rPr>
                <w:rFonts w:hint="eastAsia"/>
                <w:color w:val="000000" w:themeColor="text1"/>
                <w:sz w:val="21"/>
                <w:szCs w:val="21"/>
              </w:rPr>
              <w:t>2</w:t>
            </w:r>
          </w:p>
        </w:tc>
        <w:tc>
          <w:tcPr>
            <w:tcW w:w="1076" w:type="pct"/>
            <w:vAlign w:val="center"/>
          </w:tcPr>
          <w:p w14:paraId="454219E5" w14:textId="77777777" w:rsidR="007F274D" w:rsidRDefault="007F274D" w:rsidP="00854BD3">
            <w:pPr>
              <w:spacing w:after="0" w:line="276" w:lineRule="auto"/>
              <w:jc w:val="both"/>
              <w:rPr>
                <w:color w:val="000000" w:themeColor="text1"/>
                <w:sz w:val="21"/>
                <w:szCs w:val="21"/>
              </w:rPr>
            </w:pPr>
            <w:r>
              <w:rPr>
                <w:rFonts w:ascii="宋体" w:eastAsia="宋体" w:hAnsi="宋体" w:cs="宋体" w:hint="eastAsia"/>
                <w:color w:val="000000" w:themeColor="text1"/>
                <w:sz w:val="21"/>
                <w:szCs w:val="21"/>
              </w:rPr>
              <w:t>显微外科输精管梗阻病灶去除后重建术</w:t>
            </w:r>
          </w:p>
        </w:tc>
        <w:tc>
          <w:tcPr>
            <w:tcW w:w="2173" w:type="pct"/>
            <w:vAlign w:val="center"/>
          </w:tcPr>
          <w:p w14:paraId="13E84188" w14:textId="77777777" w:rsidR="007F274D" w:rsidRDefault="007F274D" w:rsidP="00854BD3">
            <w:pPr>
              <w:spacing w:after="0" w:line="276" w:lineRule="auto"/>
              <w:jc w:val="both"/>
              <w:rPr>
                <w:color w:val="000000" w:themeColor="text1"/>
                <w:sz w:val="21"/>
                <w:szCs w:val="21"/>
              </w:rPr>
            </w:pPr>
            <w:r>
              <w:rPr>
                <w:rFonts w:ascii="宋体" w:eastAsia="宋体" w:hAnsi="宋体" w:cs="宋体" w:hint="eastAsia"/>
                <w:color w:val="000000" w:themeColor="text1"/>
                <w:sz w:val="21"/>
                <w:szCs w:val="21"/>
              </w:rPr>
              <w:t>适用于输精管梗阻引起的不孕不育无精子症患者。</w:t>
            </w:r>
          </w:p>
        </w:tc>
        <w:tc>
          <w:tcPr>
            <w:tcW w:w="836" w:type="pct"/>
            <w:vAlign w:val="center"/>
          </w:tcPr>
          <w:p w14:paraId="5026C1FE" w14:textId="77777777" w:rsidR="007F274D" w:rsidRDefault="007F274D">
            <w:pPr>
              <w:spacing w:after="0" w:line="276" w:lineRule="auto"/>
              <w:jc w:val="center"/>
              <w:rPr>
                <w:color w:val="000000" w:themeColor="text1"/>
                <w:sz w:val="21"/>
                <w:szCs w:val="21"/>
              </w:rPr>
            </w:pPr>
            <w:r>
              <w:rPr>
                <w:rFonts w:hint="eastAsia"/>
                <w:color w:val="000000" w:themeColor="text1"/>
                <w:sz w:val="21"/>
                <w:szCs w:val="21"/>
              </w:rPr>
              <w:t>6360</w:t>
            </w:r>
            <w:r>
              <w:rPr>
                <w:rFonts w:hint="eastAsia"/>
                <w:color w:val="000000" w:themeColor="text1"/>
                <w:sz w:val="21"/>
                <w:szCs w:val="21"/>
              </w:rPr>
              <w:t>元</w:t>
            </w:r>
          </w:p>
        </w:tc>
        <w:tc>
          <w:tcPr>
            <w:tcW w:w="587" w:type="pct"/>
            <w:vAlign w:val="center"/>
          </w:tcPr>
          <w:p w14:paraId="79ED00F7" w14:textId="77777777" w:rsidR="007F274D" w:rsidRDefault="007F274D">
            <w:pPr>
              <w:spacing w:after="0" w:line="276" w:lineRule="auto"/>
              <w:jc w:val="center"/>
              <w:rPr>
                <w:color w:val="000000" w:themeColor="text1"/>
                <w:sz w:val="21"/>
                <w:szCs w:val="21"/>
              </w:rPr>
            </w:pPr>
            <w:r>
              <w:rPr>
                <w:rFonts w:ascii="宋体" w:eastAsia="宋体" w:hAnsi="宋体" w:cs="宋体" w:hint="eastAsia"/>
                <w:sz w:val="20"/>
                <w:szCs w:val="20"/>
              </w:rPr>
              <w:t>单侧</w:t>
            </w:r>
          </w:p>
        </w:tc>
      </w:tr>
      <w:tr w:rsidR="007F274D" w14:paraId="280E5218" w14:textId="77777777" w:rsidTr="00CD056A">
        <w:tc>
          <w:tcPr>
            <w:tcW w:w="329" w:type="pct"/>
            <w:vAlign w:val="center"/>
          </w:tcPr>
          <w:p w14:paraId="1C44A09D" w14:textId="77777777" w:rsidR="007F274D" w:rsidRDefault="007F274D">
            <w:pPr>
              <w:spacing w:after="0" w:line="276" w:lineRule="auto"/>
              <w:jc w:val="center"/>
              <w:rPr>
                <w:color w:val="000000" w:themeColor="text1"/>
                <w:sz w:val="21"/>
                <w:szCs w:val="21"/>
              </w:rPr>
            </w:pPr>
            <w:r>
              <w:rPr>
                <w:color w:val="000000" w:themeColor="text1"/>
                <w:sz w:val="21"/>
                <w:szCs w:val="21"/>
              </w:rPr>
              <w:t>3</w:t>
            </w:r>
          </w:p>
        </w:tc>
        <w:tc>
          <w:tcPr>
            <w:tcW w:w="1076" w:type="pct"/>
            <w:vAlign w:val="center"/>
          </w:tcPr>
          <w:p w14:paraId="0FD2568B" w14:textId="77777777" w:rsidR="007F274D" w:rsidRDefault="007F274D" w:rsidP="00854BD3">
            <w:pPr>
              <w:spacing w:after="0" w:line="276" w:lineRule="auto"/>
              <w:jc w:val="both"/>
              <w:rPr>
                <w:color w:val="000000" w:themeColor="text1"/>
                <w:sz w:val="21"/>
                <w:szCs w:val="21"/>
              </w:rPr>
            </w:pPr>
            <w:r>
              <w:rPr>
                <w:rFonts w:ascii="宋体" w:eastAsia="宋体" w:hAnsi="宋体" w:cs="宋体" w:hint="eastAsia"/>
                <w:color w:val="000000" w:themeColor="text1"/>
                <w:sz w:val="21"/>
                <w:szCs w:val="21"/>
              </w:rPr>
              <w:t>显微外科精索静脉丛低位结扎术</w:t>
            </w:r>
          </w:p>
        </w:tc>
        <w:tc>
          <w:tcPr>
            <w:tcW w:w="2173" w:type="pct"/>
            <w:vAlign w:val="center"/>
          </w:tcPr>
          <w:p w14:paraId="134ECC1E" w14:textId="77777777" w:rsidR="007F274D" w:rsidRDefault="007F274D" w:rsidP="00854BD3">
            <w:pPr>
              <w:spacing w:after="0" w:line="276" w:lineRule="auto"/>
              <w:jc w:val="both"/>
              <w:rPr>
                <w:color w:val="000000" w:themeColor="text1"/>
                <w:sz w:val="21"/>
                <w:szCs w:val="21"/>
              </w:rPr>
            </w:pPr>
            <w:r>
              <w:rPr>
                <w:rFonts w:ascii="宋体" w:eastAsia="宋体" w:hAnsi="宋体" w:cs="宋体" w:hint="eastAsia"/>
                <w:color w:val="000000" w:themeColor="text1"/>
                <w:sz w:val="21"/>
                <w:szCs w:val="21"/>
              </w:rPr>
              <w:t>适用于精索静脉曲张引起的不孕不育少弱畸形精子症患者。</w:t>
            </w:r>
          </w:p>
        </w:tc>
        <w:tc>
          <w:tcPr>
            <w:tcW w:w="836" w:type="pct"/>
            <w:vAlign w:val="center"/>
          </w:tcPr>
          <w:p w14:paraId="50F96886" w14:textId="77777777" w:rsidR="007F274D" w:rsidRDefault="007F274D">
            <w:pPr>
              <w:spacing w:after="0" w:line="276" w:lineRule="auto"/>
              <w:jc w:val="center"/>
              <w:rPr>
                <w:color w:val="000000" w:themeColor="text1"/>
                <w:sz w:val="21"/>
                <w:szCs w:val="21"/>
              </w:rPr>
            </w:pPr>
            <w:r>
              <w:rPr>
                <w:color w:val="000000" w:themeColor="text1"/>
                <w:sz w:val="21"/>
                <w:szCs w:val="21"/>
              </w:rPr>
              <w:t>4</w:t>
            </w:r>
            <w:r>
              <w:rPr>
                <w:rFonts w:hint="eastAsia"/>
                <w:color w:val="000000" w:themeColor="text1"/>
                <w:sz w:val="21"/>
                <w:szCs w:val="21"/>
              </w:rPr>
              <w:t>7</w:t>
            </w:r>
            <w:r>
              <w:rPr>
                <w:color w:val="000000" w:themeColor="text1"/>
                <w:sz w:val="21"/>
                <w:szCs w:val="21"/>
              </w:rPr>
              <w:t>00</w:t>
            </w:r>
            <w:r>
              <w:rPr>
                <w:color w:val="000000" w:themeColor="text1"/>
                <w:sz w:val="21"/>
                <w:szCs w:val="21"/>
              </w:rPr>
              <w:t>元</w:t>
            </w:r>
          </w:p>
        </w:tc>
        <w:tc>
          <w:tcPr>
            <w:tcW w:w="587" w:type="pct"/>
            <w:vAlign w:val="center"/>
          </w:tcPr>
          <w:p w14:paraId="0B2BBD6A" w14:textId="77777777" w:rsidR="007F274D" w:rsidRDefault="007F274D">
            <w:pPr>
              <w:spacing w:after="0" w:line="276" w:lineRule="auto"/>
              <w:jc w:val="center"/>
              <w:rPr>
                <w:color w:val="000000" w:themeColor="text1"/>
                <w:sz w:val="21"/>
                <w:szCs w:val="21"/>
              </w:rPr>
            </w:pPr>
            <w:r>
              <w:rPr>
                <w:rFonts w:ascii="宋体" w:eastAsia="宋体" w:hAnsi="宋体" w:cs="宋体" w:hint="eastAsia"/>
                <w:sz w:val="20"/>
                <w:szCs w:val="20"/>
              </w:rPr>
              <w:t>单侧</w:t>
            </w:r>
          </w:p>
        </w:tc>
      </w:tr>
      <w:tr w:rsidR="007F274D" w14:paraId="4AFB563E" w14:textId="77777777" w:rsidTr="00CD056A">
        <w:tc>
          <w:tcPr>
            <w:tcW w:w="329" w:type="pct"/>
            <w:vAlign w:val="center"/>
          </w:tcPr>
          <w:p w14:paraId="48701A3E" w14:textId="77777777" w:rsidR="007F274D" w:rsidRDefault="007F274D">
            <w:pPr>
              <w:spacing w:after="0" w:line="276" w:lineRule="auto"/>
              <w:jc w:val="center"/>
              <w:rPr>
                <w:color w:val="000000" w:themeColor="text1"/>
                <w:sz w:val="21"/>
                <w:szCs w:val="21"/>
              </w:rPr>
            </w:pPr>
            <w:r>
              <w:rPr>
                <w:rFonts w:hint="eastAsia"/>
                <w:color w:val="000000" w:themeColor="text1"/>
                <w:sz w:val="21"/>
                <w:szCs w:val="21"/>
              </w:rPr>
              <w:t>4</w:t>
            </w:r>
          </w:p>
        </w:tc>
        <w:tc>
          <w:tcPr>
            <w:tcW w:w="1076" w:type="pct"/>
            <w:vAlign w:val="center"/>
          </w:tcPr>
          <w:p w14:paraId="0FAB86DB" w14:textId="77777777" w:rsidR="007F274D" w:rsidRDefault="007F274D" w:rsidP="00854BD3">
            <w:pPr>
              <w:spacing w:after="0" w:line="276" w:lineRule="auto"/>
              <w:jc w:val="both"/>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辅助精液采集</w:t>
            </w:r>
          </w:p>
        </w:tc>
        <w:tc>
          <w:tcPr>
            <w:tcW w:w="2173" w:type="pct"/>
            <w:vAlign w:val="center"/>
          </w:tcPr>
          <w:p w14:paraId="42613A3A" w14:textId="77777777" w:rsidR="007F274D" w:rsidRDefault="007F274D" w:rsidP="00854BD3">
            <w:pPr>
              <w:spacing w:after="0" w:line="276" w:lineRule="auto"/>
              <w:jc w:val="both"/>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使用仪器刺激阴茎射精，采集精液，适用于射精障碍等病因引起的不孕不育患者。</w:t>
            </w:r>
          </w:p>
        </w:tc>
        <w:tc>
          <w:tcPr>
            <w:tcW w:w="836" w:type="pct"/>
            <w:vAlign w:val="center"/>
          </w:tcPr>
          <w:p w14:paraId="2703A587" w14:textId="77777777" w:rsidR="007F274D" w:rsidRDefault="007F274D">
            <w:pPr>
              <w:spacing w:after="0" w:line="276" w:lineRule="auto"/>
              <w:jc w:val="center"/>
              <w:rPr>
                <w:color w:val="000000" w:themeColor="text1"/>
                <w:sz w:val="21"/>
                <w:szCs w:val="21"/>
              </w:rPr>
            </w:pPr>
            <w:r>
              <w:rPr>
                <w:rFonts w:hint="eastAsia"/>
                <w:color w:val="000000" w:themeColor="text1"/>
                <w:sz w:val="21"/>
                <w:szCs w:val="21"/>
              </w:rPr>
              <w:t>100</w:t>
            </w:r>
            <w:r>
              <w:rPr>
                <w:rFonts w:hint="eastAsia"/>
                <w:color w:val="000000" w:themeColor="text1"/>
                <w:sz w:val="21"/>
                <w:szCs w:val="21"/>
              </w:rPr>
              <w:t>元</w:t>
            </w:r>
          </w:p>
        </w:tc>
        <w:tc>
          <w:tcPr>
            <w:tcW w:w="587" w:type="pct"/>
            <w:vAlign w:val="center"/>
          </w:tcPr>
          <w:p w14:paraId="51F1F971" w14:textId="77777777" w:rsidR="007F274D" w:rsidRDefault="007F274D">
            <w:pPr>
              <w:spacing w:after="0" w:line="276" w:lineRule="auto"/>
              <w:jc w:val="center"/>
              <w:rPr>
                <w:color w:val="000000" w:themeColor="text1"/>
                <w:sz w:val="21"/>
                <w:szCs w:val="21"/>
              </w:rPr>
            </w:pPr>
            <w:r>
              <w:rPr>
                <w:color w:val="000000" w:themeColor="text1"/>
                <w:sz w:val="21"/>
                <w:szCs w:val="21"/>
              </w:rPr>
              <w:t>次</w:t>
            </w:r>
          </w:p>
        </w:tc>
      </w:tr>
      <w:tr w:rsidR="007F274D" w14:paraId="397145B6" w14:textId="77777777" w:rsidTr="00CD056A">
        <w:tc>
          <w:tcPr>
            <w:tcW w:w="329" w:type="pct"/>
            <w:vAlign w:val="center"/>
          </w:tcPr>
          <w:p w14:paraId="27285B79" w14:textId="77777777" w:rsidR="007F274D" w:rsidRDefault="007F274D">
            <w:pPr>
              <w:spacing w:after="0" w:line="276" w:lineRule="auto"/>
              <w:jc w:val="center"/>
              <w:rPr>
                <w:color w:val="000000" w:themeColor="text1"/>
                <w:sz w:val="21"/>
                <w:szCs w:val="21"/>
              </w:rPr>
            </w:pPr>
            <w:r>
              <w:rPr>
                <w:rFonts w:hint="eastAsia"/>
                <w:color w:val="000000" w:themeColor="text1"/>
                <w:sz w:val="21"/>
                <w:szCs w:val="21"/>
              </w:rPr>
              <w:t>5</w:t>
            </w:r>
          </w:p>
        </w:tc>
        <w:tc>
          <w:tcPr>
            <w:tcW w:w="1076" w:type="pct"/>
            <w:vAlign w:val="center"/>
          </w:tcPr>
          <w:p w14:paraId="5249E75B" w14:textId="77777777" w:rsidR="007F274D" w:rsidRDefault="007F274D" w:rsidP="00854BD3">
            <w:pPr>
              <w:spacing w:after="0" w:line="276" w:lineRule="auto"/>
              <w:jc w:val="both"/>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阴茎低强度脉冲式超声波治疗</w:t>
            </w:r>
          </w:p>
        </w:tc>
        <w:tc>
          <w:tcPr>
            <w:tcW w:w="2173" w:type="pct"/>
            <w:vAlign w:val="center"/>
          </w:tcPr>
          <w:p w14:paraId="783D62F3" w14:textId="77777777" w:rsidR="007F274D" w:rsidRDefault="007F274D" w:rsidP="00854BD3">
            <w:pPr>
              <w:spacing w:after="0" w:line="276" w:lineRule="auto"/>
              <w:jc w:val="both"/>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利用超声探头发射低强度脉冲式超声波对阴茎不同部位进行脉冲式治疗。适用于男性勃起功能障碍、阴茎疼痛、慢性前列腺炎、阴茎硬结症等病因引起的不孕不育患者。</w:t>
            </w:r>
          </w:p>
        </w:tc>
        <w:tc>
          <w:tcPr>
            <w:tcW w:w="836" w:type="pct"/>
            <w:vAlign w:val="center"/>
          </w:tcPr>
          <w:p w14:paraId="6609FCC3" w14:textId="77777777" w:rsidR="007F274D" w:rsidRDefault="007F274D">
            <w:pPr>
              <w:spacing w:after="0" w:line="276" w:lineRule="auto"/>
              <w:jc w:val="center"/>
              <w:rPr>
                <w:color w:val="000000" w:themeColor="text1"/>
                <w:sz w:val="21"/>
                <w:szCs w:val="21"/>
              </w:rPr>
            </w:pPr>
            <w:r>
              <w:rPr>
                <w:rFonts w:hint="eastAsia"/>
                <w:color w:val="000000" w:themeColor="text1"/>
                <w:sz w:val="21"/>
                <w:szCs w:val="21"/>
              </w:rPr>
              <w:t>820</w:t>
            </w:r>
            <w:r>
              <w:rPr>
                <w:rFonts w:hint="eastAsia"/>
                <w:color w:val="000000" w:themeColor="text1"/>
                <w:sz w:val="21"/>
                <w:szCs w:val="21"/>
              </w:rPr>
              <w:t>元</w:t>
            </w:r>
          </w:p>
        </w:tc>
        <w:tc>
          <w:tcPr>
            <w:tcW w:w="587" w:type="pct"/>
            <w:vAlign w:val="center"/>
          </w:tcPr>
          <w:p w14:paraId="2832A1AE" w14:textId="77777777" w:rsidR="007F274D" w:rsidRDefault="007F274D">
            <w:pPr>
              <w:spacing w:after="0" w:line="276" w:lineRule="auto"/>
              <w:jc w:val="center"/>
              <w:rPr>
                <w:color w:val="000000" w:themeColor="text1"/>
                <w:sz w:val="21"/>
                <w:szCs w:val="21"/>
              </w:rPr>
            </w:pPr>
            <w:r>
              <w:rPr>
                <w:color w:val="000000" w:themeColor="text1"/>
                <w:sz w:val="21"/>
                <w:szCs w:val="21"/>
              </w:rPr>
              <w:t>次</w:t>
            </w:r>
          </w:p>
        </w:tc>
      </w:tr>
      <w:tr w:rsidR="007F274D" w14:paraId="3481E89B" w14:textId="77777777" w:rsidTr="00CD056A">
        <w:tc>
          <w:tcPr>
            <w:tcW w:w="329" w:type="pct"/>
            <w:vAlign w:val="center"/>
          </w:tcPr>
          <w:p w14:paraId="498C251E" w14:textId="77777777" w:rsidR="007F274D" w:rsidRDefault="007F274D">
            <w:pPr>
              <w:spacing w:after="0" w:line="276" w:lineRule="auto"/>
              <w:jc w:val="center"/>
              <w:rPr>
                <w:color w:val="000000" w:themeColor="text1"/>
                <w:sz w:val="21"/>
                <w:szCs w:val="21"/>
              </w:rPr>
            </w:pPr>
            <w:r>
              <w:rPr>
                <w:rFonts w:hint="eastAsia"/>
                <w:color w:val="000000" w:themeColor="text1"/>
                <w:sz w:val="21"/>
                <w:szCs w:val="21"/>
              </w:rPr>
              <w:t>6</w:t>
            </w:r>
          </w:p>
        </w:tc>
        <w:tc>
          <w:tcPr>
            <w:tcW w:w="1076" w:type="pct"/>
            <w:vAlign w:val="center"/>
          </w:tcPr>
          <w:p w14:paraId="2078CD1D" w14:textId="77777777" w:rsidR="007F274D" w:rsidRDefault="007F274D" w:rsidP="00854BD3">
            <w:pPr>
              <w:spacing w:after="0" w:line="276" w:lineRule="auto"/>
              <w:jc w:val="both"/>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阴茎神经电生理检测</w:t>
            </w:r>
          </w:p>
        </w:tc>
        <w:tc>
          <w:tcPr>
            <w:tcW w:w="2173" w:type="pct"/>
            <w:vAlign w:val="center"/>
          </w:tcPr>
          <w:p w14:paraId="55618383" w14:textId="77777777" w:rsidR="007F274D" w:rsidRDefault="007F274D" w:rsidP="00854BD3">
            <w:pPr>
              <w:spacing w:after="0" w:line="276" w:lineRule="auto"/>
              <w:jc w:val="both"/>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通过肌电图、诱发电位系统不同的传感器对阴茎神经通路进行检测，同时进行定量肌电图分析及单纤维肌电图、高级肌电图测试，提供一个可量化的运动皮层的信息和重现，从而用于早泄等病因的不孕不育患者的分类诊断。</w:t>
            </w:r>
          </w:p>
        </w:tc>
        <w:tc>
          <w:tcPr>
            <w:tcW w:w="836" w:type="pct"/>
            <w:vAlign w:val="center"/>
          </w:tcPr>
          <w:p w14:paraId="18FF185A" w14:textId="77777777" w:rsidR="007F274D" w:rsidRDefault="007F274D">
            <w:pPr>
              <w:spacing w:after="0" w:line="276" w:lineRule="auto"/>
              <w:jc w:val="center"/>
              <w:rPr>
                <w:color w:val="000000" w:themeColor="text1"/>
                <w:sz w:val="21"/>
                <w:szCs w:val="21"/>
              </w:rPr>
            </w:pPr>
            <w:r>
              <w:rPr>
                <w:rFonts w:hint="eastAsia"/>
                <w:color w:val="000000" w:themeColor="text1"/>
                <w:sz w:val="21"/>
                <w:szCs w:val="21"/>
              </w:rPr>
              <w:t>380</w:t>
            </w:r>
            <w:r>
              <w:rPr>
                <w:rFonts w:hint="eastAsia"/>
                <w:color w:val="000000" w:themeColor="text1"/>
                <w:sz w:val="21"/>
                <w:szCs w:val="21"/>
              </w:rPr>
              <w:t>元</w:t>
            </w:r>
          </w:p>
        </w:tc>
        <w:tc>
          <w:tcPr>
            <w:tcW w:w="587" w:type="pct"/>
            <w:vAlign w:val="center"/>
          </w:tcPr>
          <w:p w14:paraId="0D55ED6B" w14:textId="77777777" w:rsidR="007F274D" w:rsidRDefault="007F274D">
            <w:pPr>
              <w:spacing w:after="0" w:line="276" w:lineRule="auto"/>
              <w:jc w:val="center"/>
              <w:rPr>
                <w:color w:val="000000" w:themeColor="text1"/>
                <w:sz w:val="21"/>
                <w:szCs w:val="21"/>
              </w:rPr>
            </w:pPr>
            <w:r>
              <w:rPr>
                <w:color w:val="000000" w:themeColor="text1"/>
                <w:sz w:val="21"/>
                <w:szCs w:val="21"/>
              </w:rPr>
              <w:t>次</w:t>
            </w:r>
          </w:p>
        </w:tc>
      </w:tr>
      <w:tr w:rsidR="007F274D" w14:paraId="2383B60A" w14:textId="77777777" w:rsidTr="00CD056A">
        <w:tc>
          <w:tcPr>
            <w:tcW w:w="329" w:type="pct"/>
            <w:vAlign w:val="center"/>
          </w:tcPr>
          <w:p w14:paraId="76C547C4" w14:textId="77777777" w:rsidR="007F274D" w:rsidRDefault="007F274D">
            <w:pPr>
              <w:spacing w:after="0" w:line="276" w:lineRule="auto"/>
              <w:jc w:val="center"/>
              <w:rPr>
                <w:color w:val="000000" w:themeColor="text1"/>
                <w:sz w:val="21"/>
                <w:szCs w:val="21"/>
              </w:rPr>
            </w:pPr>
            <w:r>
              <w:rPr>
                <w:rFonts w:hint="eastAsia"/>
                <w:color w:val="000000" w:themeColor="text1"/>
                <w:sz w:val="21"/>
                <w:szCs w:val="21"/>
              </w:rPr>
              <w:t>7</w:t>
            </w:r>
          </w:p>
        </w:tc>
        <w:tc>
          <w:tcPr>
            <w:tcW w:w="1076" w:type="pct"/>
            <w:vAlign w:val="center"/>
          </w:tcPr>
          <w:p w14:paraId="095F12A8" w14:textId="77777777" w:rsidR="007F274D" w:rsidRDefault="007F274D" w:rsidP="00854BD3">
            <w:pPr>
              <w:spacing w:after="0" w:line="276" w:lineRule="auto"/>
              <w:jc w:val="both"/>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男性性功能生物反馈（敏感阈值检测）</w:t>
            </w:r>
          </w:p>
        </w:tc>
        <w:tc>
          <w:tcPr>
            <w:tcW w:w="2173" w:type="pct"/>
            <w:vAlign w:val="center"/>
          </w:tcPr>
          <w:p w14:paraId="1F5B729A" w14:textId="77777777" w:rsidR="007F274D" w:rsidRDefault="007F274D" w:rsidP="00854BD3">
            <w:pPr>
              <w:spacing w:after="0" w:line="276" w:lineRule="auto"/>
              <w:jc w:val="both"/>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通过设备检测龟头的敏感性，适用于早泄等病因引起的不孕不育患者。</w:t>
            </w:r>
          </w:p>
        </w:tc>
        <w:tc>
          <w:tcPr>
            <w:tcW w:w="836" w:type="pct"/>
            <w:vAlign w:val="center"/>
          </w:tcPr>
          <w:p w14:paraId="124840EF" w14:textId="77777777" w:rsidR="007F274D" w:rsidRDefault="007F274D">
            <w:pPr>
              <w:spacing w:after="0" w:line="276" w:lineRule="auto"/>
              <w:jc w:val="center"/>
              <w:rPr>
                <w:color w:val="000000" w:themeColor="text1"/>
                <w:sz w:val="21"/>
                <w:szCs w:val="21"/>
              </w:rPr>
            </w:pPr>
            <w:r>
              <w:rPr>
                <w:rFonts w:hint="eastAsia"/>
                <w:color w:val="000000" w:themeColor="text1"/>
                <w:sz w:val="21"/>
                <w:szCs w:val="21"/>
              </w:rPr>
              <w:t>170</w:t>
            </w:r>
            <w:r>
              <w:rPr>
                <w:rFonts w:hint="eastAsia"/>
                <w:color w:val="000000" w:themeColor="text1"/>
                <w:sz w:val="21"/>
                <w:szCs w:val="21"/>
              </w:rPr>
              <w:t>元</w:t>
            </w:r>
          </w:p>
        </w:tc>
        <w:tc>
          <w:tcPr>
            <w:tcW w:w="587" w:type="pct"/>
            <w:vAlign w:val="center"/>
          </w:tcPr>
          <w:p w14:paraId="78EFD322" w14:textId="77777777" w:rsidR="007F274D" w:rsidRDefault="007F274D">
            <w:pPr>
              <w:spacing w:after="0" w:line="276" w:lineRule="auto"/>
              <w:jc w:val="center"/>
              <w:rPr>
                <w:color w:val="000000" w:themeColor="text1"/>
                <w:sz w:val="21"/>
                <w:szCs w:val="21"/>
              </w:rPr>
            </w:pPr>
            <w:r>
              <w:rPr>
                <w:color w:val="000000" w:themeColor="text1"/>
                <w:sz w:val="21"/>
                <w:szCs w:val="21"/>
              </w:rPr>
              <w:t>次</w:t>
            </w:r>
          </w:p>
        </w:tc>
      </w:tr>
      <w:tr w:rsidR="007F274D" w14:paraId="3B153363" w14:textId="77777777" w:rsidTr="00CD056A">
        <w:trPr>
          <w:trHeight w:val="2084"/>
        </w:trPr>
        <w:tc>
          <w:tcPr>
            <w:tcW w:w="329" w:type="pct"/>
            <w:vAlign w:val="center"/>
          </w:tcPr>
          <w:p w14:paraId="0EEB6CAF" w14:textId="77777777" w:rsidR="007F274D" w:rsidRDefault="007F274D">
            <w:pPr>
              <w:spacing w:after="0" w:line="276" w:lineRule="auto"/>
              <w:jc w:val="center"/>
              <w:rPr>
                <w:color w:val="000000" w:themeColor="text1"/>
                <w:sz w:val="21"/>
                <w:szCs w:val="21"/>
              </w:rPr>
            </w:pPr>
            <w:r>
              <w:rPr>
                <w:rFonts w:hint="eastAsia"/>
                <w:color w:val="000000" w:themeColor="text1"/>
                <w:sz w:val="21"/>
                <w:szCs w:val="21"/>
              </w:rPr>
              <w:t>8</w:t>
            </w:r>
          </w:p>
        </w:tc>
        <w:tc>
          <w:tcPr>
            <w:tcW w:w="1076" w:type="pct"/>
            <w:vAlign w:val="center"/>
          </w:tcPr>
          <w:p w14:paraId="78B54140" w14:textId="77777777" w:rsidR="007F274D" w:rsidRDefault="007F274D" w:rsidP="00854BD3">
            <w:pPr>
              <w:spacing w:after="0" w:line="276" w:lineRule="auto"/>
              <w:jc w:val="both"/>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阴茎勃起和硬度检测（日间）</w:t>
            </w:r>
          </w:p>
        </w:tc>
        <w:tc>
          <w:tcPr>
            <w:tcW w:w="2173" w:type="pct"/>
            <w:vAlign w:val="center"/>
          </w:tcPr>
          <w:p w14:paraId="5C951F9F" w14:textId="77777777" w:rsidR="007F274D" w:rsidRDefault="007F274D" w:rsidP="00854BD3">
            <w:pPr>
              <w:spacing w:after="0" w:line="276" w:lineRule="auto"/>
              <w:jc w:val="both"/>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根据传感器信号检测患者日间阴茎勃起状态，记录硬度值、持续勃起时间以及勃起频率等参数，适用于勃起功能障碍等病因引起的不孕不育患者。</w:t>
            </w:r>
          </w:p>
        </w:tc>
        <w:tc>
          <w:tcPr>
            <w:tcW w:w="836" w:type="pct"/>
            <w:vAlign w:val="center"/>
          </w:tcPr>
          <w:p w14:paraId="5FEAFBD7" w14:textId="77777777" w:rsidR="007F274D" w:rsidRDefault="007F274D">
            <w:pPr>
              <w:spacing w:after="0" w:line="276" w:lineRule="auto"/>
              <w:jc w:val="center"/>
              <w:rPr>
                <w:color w:val="000000" w:themeColor="text1"/>
                <w:sz w:val="21"/>
                <w:szCs w:val="21"/>
              </w:rPr>
            </w:pPr>
            <w:r>
              <w:rPr>
                <w:rFonts w:hint="eastAsia"/>
                <w:color w:val="000000" w:themeColor="text1"/>
                <w:sz w:val="21"/>
                <w:szCs w:val="21"/>
              </w:rPr>
              <w:t>360</w:t>
            </w:r>
            <w:r>
              <w:rPr>
                <w:rFonts w:hint="eastAsia"/>
                <w:color w:val="000000" w:themeColor="text1"/>
                <w:sz w:val="21"/>
                <w:szCs w:val="21"/>
              </w:rPr>
              <w:t>元</w:t>
            </w:r>
          </w:p>
        </w:tc>
        <w:tc>
          <w:tcPr>
            <w:tcW w:w="587" w:type="pct"/>
            <w:vAlign w:val="center"/>
          </w:tcPr>
          <w:p w14:paraId="54CC4238" w14:textId="77777777" w:rsidR="007F274D" w:rsidRDefault="007F274D">
            <w:pPr>
              <w:spacing w:after="0" w:line="276" w:lineRule="auto"/>
              <w:jc w:val="center"/>
              <w:rPr>
                <w:color w:val="000000" w:themeColor="text1"/>
                <w:sz w:val="21"/>
                <w:szCs w:val="21"/>
              </w:rPr>
            </w:pPr>
            <w:r>
              <w:rPr>
                <w:color w:val="000000" w:themeColor="text1"/>
                <w:sz w:val="21"/>
                <w:szCs w:val="21"/>
              </w:rPr>
              <w:t>次</w:t>
            </w:r>
          </w:p>
        </w:tc>
      </w:tr>
      <w:tr w:rsidR="007F274D" w14:paraId="0DC6AAF4" w14:textId="77777777" w:rsidTr="00CD056A">
        <w:tc>
          <w:tcPr>
            <w:tcW w:w="329" w:type="pct"/>
            <w:vAlign w:val="center"/>
          </w:tcPr>
          <w:p w14:paraId="37613D06" w14:textId="77777777" w:rsidR="007F274D" w:rsidRDefault="007F274D">
            <w:pPr>
              <w:spacing w:after="0" w:line="276" w:lineRule="auto"/>
              <w:jc w:val="center"/>
              <w:rPr>
                <w:color w:val="000000" w:themeColor="text1"/>
                <w:sz w:val="21"/>
                <w:szCs w:val="21"/>
              </w:rPr>
            </w:pPr>
            <w:r>
              <w:rPr>
                <w:rFonts w:hint="eastAsia"/>
                <w:color w:val="000000" w:themeColor="text1"/>
                <w:sz w:val="21"/>
                <w:szCs w:val="21"/>
              </w:rPr>
              <w:t>9</w:t>
            </w:r>
          </w:p>
        </w:tc>
        <w:tc>
          <w:tcPr>
            <w:tcW w:w="1076" w:type="pct"/>
            <w:vAlign w:val="center"/>
          </w:tcPr>
          <w:p w14:paraId="286EE3C7" w14:textId="77777777" w:rsidR="007F274D" w:rsidRDefault="007F274D" w:rsidP="00854BD3">
            <w:pPr>
              <w:spacing w:after="0" w:line="276" w:lineRule="auto"/>
              <w:jc w:val="both"/>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阴茎勃起和硬度检测（夜间）</w:t>
            </w:r>
          </w:p>
        </w:tc>
        <w:tc>
          <w:tcPr>
            <w:tcW w:w="2173" w:type="pct"/>
            <w:vAlign w:val="center"/>
          </w:tcPr>
          <w:p w14:paraId="4124FF8B" w14:textId="77777777" w:rsidR="007F274D" w:rsidRDefault="007F274D" w:rsidP="00854BD3">
            <w:pPr>
              <w:spacing w:after="0" w:line="276" w:lineRule="auto"/>
              <w:jc w:val="both"/>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根据传感器信号检测患者夜间阴茎勃起状态，记录硬度值、持续勃起时间以及勃起频率等参数。适用于勃起功能障碍等病因引起的不孕不育患者。</w:t>
            </w:r>
          </w:p>
        </w:tc>
        <w:tc>
          <w:tcPr>
            <w:tcW w:w="836" w:type="pct"/>
            <w:vAlign w:val="center"/>
          </w:tcPr>
          <w:p w14:paraId="436C3E74" w14:textId="77777777" w:rsidR="007F274D" w:rsidRDefault="007F274D">
            <w:pPr>
              <w:spacing w:after="0" w:line="276" w:lineRule="auto"/>
              <w:jc w:val="center"/>
              <w:rPr>
                <w:color w:val="000000" w:themeColor="text1"/>
                <w:sz w:val="21"/>
                <w:szCs w:val="21"/>
              </w:rPr>
            </w:pPr>
            <w:r>
              <w:rPr>
                <w:rFonts w:hint="eastAsia"/>
                <w:color w:val="000000" w:themeColor="text1"/>
                <w:sz w:val="21"/>
                <w:szCs w:val="21"/>
              </w:rPr>
              <w:t>1160</w:t>
            </w:r>
            <w:r>
              <w:rPr>
                <w:rFonts w:hint="eastAsia"/>
                <w:color w:val="000000" w:themeColor="text1"/>
                <w:sz w:val="21"/>
                <w:szCs w:val="21"/>
              </w:rPr>
              <w:t>元</w:t>
            </w:r>
          </w:p>
        </w:tc>
        <w:tc>
          <w:tcPr>
            <w:tcW w:w="587" w:type="pct"/>
            <w:vAlign w:val="center"/>
          </w:tcPr>
          <w:p w14:paraId="2AA4C281" w14:textId="77777777" w:rsidR="007F274D" w:rsidRDefault="007F274D">
            <w:pPr>
              <w:spacing w:after="0" w:line="276" w:lineRule="auto"/>
              <w:jc w:val="center"/>
              <w:rPr>
                <w:color w:val="000000" w:themeColor="text1"/>
                <w:sz w:val="21"/>
                <w:szCs w:val="21"/>
              </w:rPr>
            </w:pPr>
            <w:r>
              <w:rPr>
                <w:color w:val="000000" w:themeColor="text1"/>
                <w:sz w:val="21"/>
                <w:szCs w:val="21"/>
              </w:rPr>
              <w:t>次</w:t>
            </w:r>
          </w:p>
        </w:tc>
      </w:tr>
      <w:tr w:rsidR="007F274D" w14:paraId="6F3E4674" w14:textId="77777777" w:rsidTr="00CD056A">
        <w:tc>
          <w:tcPr>
            <w:tcW w:w="329" w:type="pct"/>
            <w:vAlign w:val="center"/>
          </w:tcPr>
          <w:p w14:paraId="19990F2F" w14:textId="77777777" w:rsidR="007F274D" w:rsidRDefault="007F274D">
            <w:pPr>
              <w:spacing w:after="0" w:line="276" w:lineRule="auto"/>
              <w:jc w:val="center"/>
              <w:rPr>
                <w:color w:val="000000" w:themeColor="text1"/>
                <w:sz w:val="21"/>
                <w:szCs w:val="21"/>
              </w:rPr>
            </w:pPr>
            <w:r>
              <w:rPr>
                <w:rFonts w:hint="eastAsia"/>
                <w:color w:val="000000" w:themeColor="text1"/>
                <w:sz w:val="21"/>
                <w:szCs w:val="21"/>
              </w:rPr>
              <w:lastRenderedPageBreak/>
              <w:t>10</w:t>
            </w:r>
          </w:p>
        </w:tc>
        <w:tc>
          <w:tcPr>
            <w:tcW w:w="1076" w:type="pct"/>
            <w:vAlign w:val="center"/>
          </w:tcPr>
          <w:p w14:paraId="1FE84EED" w14:textId="77777777" w:rsidR="007F274D" w:rsidRDefault="007F274D" w:rsidP="00854BD3">
            <w:pPr>
              <w:spacing w:after="0" w:line="276" w:lineRule="auto"/>
              <w:jc w:val="both"/>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男性性功能康复治疗</w:t>
            </w:r>
          </w:p>
        </w:tc>
        <w:tc>
          <w:tcPr>
            <w:tcW w:w="2173" w:type="pct"/>
            <w:vAlign w:val="center"/>
          </w:tcPr>
          <w:p w14:paraId="2E288D33" w14:textId="77777777" w:rsidR="007F274D" w:rsidRDefault="007F274D" w:rsidP="00854BD3">
            <w:pPr>
              <w:spacing w:after="0" w:line="276" w:lineRule="auto"/>
              <w:jc w:val="both"/>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通过电脉冲、负压、水疗、药疗等不同方法对阴茎进行脱敏、助勃、炎症的综合治疗。适用于勃起功能障碍和早泄等病因引起的不孕不育患者。</w:t>
            </w:r>
          </w:p>
        </w:tc>
        <w:tc>
          <w:tcPr>
            <w:tcW w:w="836" w:type="pct"/>
            <w:vAlign w:val="center"/>
          </w:tcPr>
          <w:p w14:paraId="64BDB2B8" w14:textId="77777777" w:rsidR="007F274D" w:rsidRDefault="007F274D">
            <w:pPr>
              <w:spacing w:after="0" w:line="276" w:lineRule="auto"/>
              <w:jc w:val="center"/>
              <w:rPr>
                <w:color w:val="000000" w:themeColor="text1"/>
                <w:sz w:val="21"/>
                <w:szCs w:val="21"/>
              </w:rPr>
            </w:pPr>
            <w:r>
              <w:rPr>
                <w:rFonts w:hint="eastAsia"/>
                <w:color w:val="000000" w:themeColor="text1"/>
                <w:sz w:val="21"/>
                <w:szCs w:val="21"/>
              </w:rPr>
              <w:t>340</w:t>
            </w:r>
            <w:r>
              <w:rPr>
                <w:rFonts w:hint="eastAsia"/>
                <w:color w:val="000000" w:themeColor="text1"/>
                <w:sz w:val="21"/>
                <w:szCs w:val="21"/>
              </w:rPr>
              <w:t>元</w:t>
            </w:r>
          </w:p>
        </w:tc>
        <w:tc>
          <w:tcPr>
            <w:tcW w:w="587" w:type="pct"/>
            <w:vAlign w:val="center"/>
          </w:tcPr>
          <w:p w14:paraId="5C7E2AD6" w14:textId="77777777" w:rsidR="007F274D" w:rsidRDefault="007F274D">
            <w:pPr>
              <w:spacing w:after="0" w:line="276" w:lineRule="auto"/>
              <w:jc w:val="center"/>
              <w:rPr>
                <w:color w:val="000000" w:themeColor="text1"/>
                <w:sz w:val="21"/>
                <w:szCs w:val="21"/>
              </w:rPr>
            </w:pPr>
            <w:r>
              <w:rPr>
                <w:color w:val="000000" w:themeColor="text1"/>
                <w:sz w:val="21"/>
                <w:szCs w:val="21"/>
              </w:rPr>
              <w:t>次</w:t>
            </w:r>
          </w:p>
        </w:tc>
      </w:tr>
      <w:tr w:rsidR="007F274D" w14:paraId="24854DB0" w14:textId="77777777" w:rsidTr="00CD056A">
        <w:tc>
          <w:tcPr>
            <w:tcW w:w="329" w:type="pct"/>
            <w:vAlign w:val="center"/>
          </w:tcPr>
          <w:p w14:paraId="4321D3DD" w14:textId="77777777" w:rsidR="007F274D" w:rsidRDefault="007F274D">
            <w:pPr>
              <w:spacing w:after="0" w:line="276" w:lineRule="auto"/>
              <w:jc w:val="center"/>
              <w:rPr>
                <w:color w:val="000000" w:themeColor="text1"/>
                <w:sz w:val="21"/>
                <w:szCs w:val="21"/>
              </w:rPr>
            </w:pPr>
            <w:r>
              <w:rPr>
                <w:rFonts w:hint="eastAsia"/>
                <w:color w:val="000000" w:themeColor="text1"/>
                <w:sz w:val="21"/>
                <w:szCs w:val="21"/>
              </w:rPr>
              <w:t>11</w:t>
            </w:r>
          </w:p>
        </w:tc>
        <w:tc>
          <w:tcPr>
            <w:tcW w:w="1076" w:type="pct"/>
            <w:vAlign w:val="center"/>
          </w:tcPr>
          <w:p w14:paraId="03C9ABB7" w14:textId="77777777" w:rsidR="007F274D" w:rsidRDefault="007F274D" w:rsidP="00854BD3">
            <w:pPr>
              <w:spacing w:after="0" w:line="276" w:lineRule="auto"/>
              <w:jc w:val="both"/>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前列腺消融治疗</w:t>
            </w:r>
          </w:p>
        </w:tc>
        <w:tc>
          <w:tcPr>
            <w:tcW w:w="2173" w:type="pct"/>
            <w:vAlign w:val="center"/>
          </w:tcPr>
          <w:p w14:paraId="6ACD4A91" w14:textId="77777777" w:rsidR="007F274D" w:rsidRDefault="007F274D" w:rsidP="00854BD3">
            <w:pPr>
              <w:spacing w:after="0" w:line="276" w:lineRule="auto"/>
              <w:jc w:val="both"/>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通过电极，在高能聚焦的电场电场能作用下，利用电热蛋白凝固效应、细胞电离灭菌效应、生物电场校正效应，疏通前列腺小腺管，促使病菌毒素等随导管排除体外，从而改善腺管内部环境，解除前列腺炎、前列腺增生所引起的各种症状。适用于精子质量差伴有前列腺疾病的不孕不育患者。</w:t>
            </w:r>
          </w:p>
        </w:tc>
        <w:tc>
          <w:tcPr>
            <w:tcW w:w="836" w:type="pct"/>
            <w:vAlign w:val="center"/>
          </w:tcPr>
          <w:p w14:paraId="60B29AA1" w14:textId="77777777" w:rsidR="007F274D" w:rsidRDefault="007F274D">
            <w:pPr>
              <w:spacing w:after="0" w:line="276" w:lineRule="auto"/>
              <w:jc w:val="center"/>
              <w:rPr>
                <w:color w:val="000000" w:themeColor="text1"/>
                <w:sz w:val="21"/>
                <w:szCs w:val="21"/>
              </w:rPr>
            </w:pPr>
            <w:r>
              <w:rPr>
                <w:rFonts w:hint="eastAsia"/>
                <w:color w:val="000000" w:themeColor="text1"/>
                <w:sz w:val="21"/>
                <w:szCs w:val="21"/>
              </w:rPr>
              <w:t>340</w:t>
            </w:r>
            <w:r>
              <w:rPr>
                <w:rFonts w:hint="eastAsia"/>
                <w:color w:val="000000" w:themeColor="text1"/>
                <w:sz w:val="21"/>
                <w:szCs w:val="21"/>
              </w:rPr>
              <w:t>元</w:t>
            </w:r>
          </w:p>
        </w:tc>
        <w:tc>
          <w:tcPr>
            <w:tcW w:w="587" w:type="pct"/>
            <w:vAlign w:val="center"/>
          </w:tcPr>
          <w:p w14:paraId="3EE2F95D" w14:textId="77777777" w:rsidR="007F274D" w:rsidRDefault="007F274D">
            <w:pPr>
              <w:spacing w:after="0" w:line="276" w:lineRule="auto"/>
              <w:jc w:val="center"/>
              <w:rPr>
                <w:color w:val="000000" w:themeColor="text1"/>
                <w:sz w:val="21"/>
                <w:szCs w:val="21"/>
              </w:rPr>
            </w:pPr>
            <w:r>
              <w:rPr>
                <w:color w:val="000000" w:themeColor="text1"/>
                <w:sz w:val="21"/>
                <w:szCs w:val="21"/>
              </w:rPr>
              <w:t>次</w:t>
            </w:r>
          </w:p>
        </w:tc>
      </w:tr>
    </w:tbl>
    <w:p w14:paraId="290217CE" w14:textId="77777777" w:rsidR="0054039B" w:rsidRDefault="0054039B">
      <w:pPr>
        <w:spacing w:after="0" w:line="220" w:lineRule="atLeast"/>
        <w:jc w:val="both"/>
        <w:rPr>
          <w:rFonts w:ascii="宋体" w:eastAsia="宋体" w:hAnsi="宋体" w:cs="宋体"/>
          <w:color w:val="000000" w:themeColor="text1"/>
          <w:sz w:val="21"/>
          <w:szCs w:val="21"/>
        </w:rPr>
      </w:pPr>
    </w:p>
    <w:p w14:paraId="5057FC85" w14:textId="77777777" w:rsidR="0054039B" w:rsidRDefault="0054039B">
      <w:pPr>
        <w:spacing w:after="0" w:line="220" w:lineRule="atLeast"/>
        <w:jc w:val="both"/>
        <w:rPr>
          <w:rFonts w:ascii="宋体" w:eastAsia="宋体" w:hAnsi="宋体" w:cs="宋体"/>
          <w:color w:val="000000" w:themeColor="text1"/>
          <w:sz w:val="21"/>
          <w:szCs w:val="21"/>
        </w:rPr>
      </w:pPr>
    </w:p>
    <w:p w14:paraId="5A7F6D7B" w14:textId="77777777" w:rsidR="0054039B" w:rsidRDefault="0054039B">
      <w:pPr>
        <w:spacing w:after="0" w:line="220" w:lineRule="atLeast"/>
        <w:jc w:val="both"/>
        <w:rPr>
          <w:rFonts w:ascii="宋体" w:eastAsia="宋体" w:hAnsi="宋体" w:cs="宋体"/>
          <w:color w:val="000000" w:themeColor="text1"/>
          <w:sz w:val="21"/>
          <w:szCs w:val="21"/>
        </w:rPr>
      </w:pPr>
    </w:p>
    <w:p w14:paraId="6597E87D" w14:textId="77777777" w:rsidR="00412235" w:rsidRPr="00F578A4" w:rsidRDefault="00412235" w:rsidP="00412235">
      <w:pPr>
        <w:spacing w:line="220" w:lineRule="atLeast"/>
        <w:rPr>
          <w:sz w:val="24"/>
          <w:szCs w:val="24"/>
        </w:rPr>
      </w:pPr>
      <w:r w:rsidRPr="00F578A4">
        <w:rPr>
          <w:sz w:val="24"/>
          <w:szCs w:val="24"/>
        </w:rPr>
        <w:t>申请部门</w:t>
      </w:r>
      <w:r w:rsidRPr="00F578A4">
        <w:rPr>
          <w:rFonts w:hint="eastAsia"/>
          <w:sz w:val="24"/>
          <w:szCs w:val="24"/>
        </w:rPr>
        <w:t>：</w:t>
      </w:r>
      <w:r w:rsidRPr="00F578A4">
        <w:rPr>
          <w:sz w:val="24"/>
          <w:szCs w:val="24"/>
        </w:rPr>
        <w:t>输血科</w:t>
      </w:r>
    </w:p>
    <w:tbl>
      <w:tblPr>
        <w:tblStyle w:val="a7"/>
        <w:tblW w:w="0" w:type="auto"/>
        <w:tblLook w:val="04A0" w:firstRow="1" w:lastRow="0" w:firstColumn="1" w:lastColumn="0" w:noHBand="0" w:noVBand="1"/>
      </w:tblPr>
      <w:tblGrid>
        <w:gridCol w:w="586"/>
        <w:gridCol w:w="1379"/>
        <w:gridCol w:w="2679"/>
        <w:gridCol w:w="1134"/>
        <w:gridCol w:w="993"/>
        <w:gridCol w:w="1701"/>
      </w:tblGrid>
      <w:tr w:rsidR="00412235" w:rsidRPr="002464D3" w14:paraId="0BAFD940" w14:textId="77777777" w:rsidTr="006A669D">
        <w:trPr>
          <w:trHeight w:val="666"/>
        </w:trPr>
        <w:tc>
          <w:tcPr>
            <w:tcW w:w="586" w:type="dxa"/>
            <w:vAlign w:val="center"/>
          </w:tcPr>
          <w:p w14:paraId="0FBEF754" w14:textId="77777777" w:rsidR="00412235" w:rsidRPr="002464D3" w:rsidRDefault="00412235" w:rsidP="006A669D">
            <w:pPr>
              <w:spacing w:after="0" w:line="276" w:lineRule="auto"/>
              <w:jc w:val="center"/>
              <w:rPr>
                <w:color w:val="000000" w:themeColor="text1"/>
                <w:sz w:val="21"/>
                <w:szCs w:val="21"/>
              </w:rPr>
            </w:pPr>
          </w:p>
        </w:tc>
        <w:tc>
          <w:tcPr>
            <w:tcW w:w="1379" w:type="dxa"/>
            <w:vAlign w:val="center"/>
          </w:tcPr>
          <w:p w14:paraId="2C2304EB" w14:textId="77777777" w:rsidR="00412235" w:rsidRPr="002464D3" w:rsidRDefault="00412235" w:rsidP="006A669D">
            <w:pPr>
              <w:spacing w:after="0" w:line="276" w:lineRule="auto"/>
              <w:jc w:val="cente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项目名称</w:t>
            </w:r>
          </w:p>
        </w:tc>
        <w:tc>
          <w:tcPr>
            <w:tcW w:w="2679" w:type="dxa"/>
            <w:vAlign w:val="center"/>
          </w:tcPr>
          <w:p w14:paraId="56807613" w14:textId="77777777" w:rsidR="00412235" w:rsidRPr="002464D3" w:rsidRDefault="00412235" w:rsidP="006A669D">
            <w:pPr>
              <w:spacing w:after="0" w:line="276" w:lineRule="auto"/>
              <w:jc w:val="cente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项目内涵</w:t>
            </w:r>
          </w:p>
        </w:tc>
        <w:tc>
          <w:tcPr>
            <w:tcW w:w="1134" w:type="dxa"/>
            <w:vAlign w:val="center"/>
          </w:tcPr>
          <w:p w14:paraId="193E946A" w14:textId="77777777" w:rsidR="00412235" w:rsidRPr="002464D3" w:rsidRDefault="00412235" w:rsidP="006A669D">
            <w:pPr>
              <w:spacing w:after="0" w:line="276" w:lineRule="auto"/>
              <w:jc w:val="cente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价格</w:t>
            </w:r>
          </w:p>
        </w:tc>
        <w:tc>
          <w:tcPr>
            <w:tcW w:w="993" w:type="dxa"/>
            <w:vAlign w:val="center"/>
          </w:tcPr>
          <w:p w14:paraId="10D0745D" w14:textId="77777777" w:rsidR="00412235" w:rsidRPr="002464D3" w:rsidRDefault="00412235" w:rsidP="006A669D">
            <w:pPr>
              <w:spacing w:after="0" w:line="276" w:lineRule="auto"/>
              <w:jc w:val="center"/>
              <w:rPr>
                <w:rFonts w:ascii="宋体" w:eastAsia="宋体" w:hAnsi="宋体" w:cs="宋体"/>
                <w:color w:val="000000" w:themeColor="text1"/>
                <w:sz w:val="21"/>
                <w:szCs w:val="21"/>
              </w:rPr>
            </w:pPr>
            <w:r>
              <w:rPr>
                <w:rFonts w:ascii="宋体" w:eastAsia="宋体" w:hAnsi="宋体" w:cs="宋体"/>
                <w:color w:val="000000" w:themeColor="text1"/>
                <w:sz w:val="21"/>
                <w:szCs w:val="21"/>
              </w:rPr>
              <w:t>单位</w:t>
            </w:r>
          </w:p>
        </w:tc>
        <w:tc>
          <w:tcPr>
            <w:tcW w:w="1701" w:type="dxa"/>
            <w:vAlign w:val="center"/>
          </w:tcPr>
          <w:p w14:paraId="280CBCB3" w14:textId="77777777" w:rsidR="00412235" w:rsidRPr="002464D3" w:rsidRDefault="00412235" w:rsidP="006A669D">
            <w:pPr>
              <w:spacing w:after="0" w:line="276" w:lineRule="auto"/>
              <w:jc w:val="center"/>
              <w:rPr>
                <w:rFonts w:ascii="宋体" w:eastAsia="宋体" w:hAnsi="宋体" w:cs="宋体"/>
                <w:color w:val="000000" w:themeColor="text1"/>
                <w:sz w:val="21"/>
                <w:szCs w:val="21"/>
              </w:rPr>
            </w:pPr>
            <w:r>
              <w:rPr>
                <w:rFonts w:ascii="宋体" w:eastAsia="宋体" w:hAnsi="宋体" w:cs="宋体"/>
                <w:color w:val="000000" w:themeColor="text1"/>
                <w:sz w:val="21"/>
                <w:szCs w:val="21"/>
              </w:rPr>
              <w:t>备注</w:t>
            </w:r>
          </w:p>
        </w:tc>
      </w:tr>
      <w:tr w:rsidR="00412235" w:rsidRPr="002464D3" w14:paraId="64F5E36F" w14:textId="77777777" w:rsidTr="006A669D">
        <w:tc>
          <w:tcPr>
            <w:tcW w:w="586" w:type="dxa"/>
            <w:vAlign w:val="center"/>
          </w:tcPr>
          <w:p w14:paraId="742E24E5" w14:textId="77777777" w:rsidR="00412235" w:rsidRPr="002464D3" w:rsidRDefault="00412235" w:rsidP="006A669D">
            <w:pPr>
              <w:spacing w:after="0" w:line="276" w:lineRule="auto"/>
              <w:jc w:val="center"/>
              <w:rPr>
                <w:rFonts w:ascii="宋体" w:eastAsia="宋体" w:hAnsi="宋体" w:cs="宋体"/>
                <w:color w:val="000000" w:themeColor="text1"/>
                <w:sz w:val="21"/>
                <w:szCs w:val="21"/>
              </w:rPr>
            </w:pPr>
            <w:r>
              <w:rPr>
                <w:rFonts w:hint="eastAsia"/>
                <w:color w:val="000000" w:themeColor="text1"/>
                <w:sz w:val="21"/>
                <w:szCs w:val="21"/>
              </w:rPr>
              <w:t>1</w:t>
            </w:r>
          </w:p>
        </w:tc>
        <w:tc>
          <w:tcPr>
            <w:tcW w:w="1379" w:type="dxa"/>
            <w:vAlign w:val="center"/>
          </w:tcPr>
          <w:p w14:paraId="294A4B52" w14:textId="77777777" w:rsidR="00412235" w:rsidRPr="002464D3" w:rsidRDefault="00412235" w:rsidP="006A669D">
            <w:pPr>
              <w:spacing w:after="0" w:line="276" w:lineRule="auto"/>
              <w:jc w:val="center"/>
              <w:rPr>
                <w:rFonts w:ascii="宋体" w:eastAsia="宋体" w:hAnsi="宋体" w:cs="宋体"/>
                <w:color w:val="000000" w:themeColor="text1"/>
                <w:sz w:val="21"/>
                <w:szCs w:val="21"/>
              </w:rPr>
            </w:pPr>
            <w:r w:rsidRPr="002464D3">
              <w:rPr>
                <w:rFonts w:ascii="宋体" w:eastAsia="宋体" w:hAnsi="宋体" w:cs="宋体" w:hint="eastAsia"/>
                <w:color w:val="000000" w:themeColor="text1"/>
                <w:sz w:val="21"/>
                <w:szCs w:val="21"/>
              </w:rPr>
              <w:t>整形美容富血小板血浆联合填充术</w:t>
            </w:r>
          </w:p>
        </w:tc>
        <w:tc>
          <w:tcPr>
            <w:tcW w:w="2679" w:type="dxa"/>
          </w:tcPr>
          <w:p w14:paraId="22385272" w14:textId="77777777" w:rsidR="00412235" w:rsidRPr="002464D3" w:rsidRDefault="00412235" w:rsidP="006A669D">
            <w:pPr>
              <w:spacing w:after="0" w:line="276" w:lineRule="auto"/>
              <w:rPr>
                <w:rFonts w:ascii="宋体" w:eastAsia="宋体" w:hAnsi="宋体" w:cs="宋体"/>
                <w:color w:val="000000" w:themeColor="text1"/>
                <w:sz w:val="21"/>
                <w:szCs w:val="21"/>
              </w:rPr>
            </w:pPr>
            <w:r w:rsidRPr="002464D3">
              <w:rPr>
                <w:rFonts w:ascii="宋体" w:eastAsia="宋体" w:hAnsi="宋体" w:cs="宋体" w:hint="eastAsia"/>
                <w:color w:val="000000" w:themeColor="text1"/>
                <w:sz w:val="21"/>
                <w:szCs w:val="21"/>
              </w:rPr>
              <w:t>将处理过的富血小板血浆（PRP）结合患者自身组织如脂肪等混合后按照不同治疗部位分别进行填充注射以达到美容效果。</w:t>
            </w:r>
          </w:p>
        </w:tc>
        <w:tc>
          <w:tcPr>
            <w:tcW w:w="1134" w:type="dxa"/>
            <w:vAlign w:val="center"/>
          </w:tcPr>
          <w:p w14:paraId="65BFA818" w14:textId="311CF2F5" w:rsidR="00412235" w:rsidRPr="002464D3" w:rsidRDefault="00C13F8B" w:rsidP="006A669D">
            <w:pPr>
              <w:spacing w:after="0" w:line="276" w:lineRule="auto"/>
              <w:jc w:val="center"/>
              <w:rPr>
                <w:rFonts w:ascii="宋体" w:eastAsia="宋体" w:hAnsi="宋体" w:cs="宋体"/>
                <w:color w:val="000000" w:themeColor="text1"/>
                <w:sz w:val="21"/>
                <w:szCs w:val="21"/>
              </w:rPr>
            </w:pPr>
            <w:r>
              <w:rPr>
                <w:rFonts w:ascii="宋体" w:eastAsia="宋体" w:hAnsi="宋体" w:cs="宋体"/>
                <w:color w:val="000000" w:themeColor="text1"/>
                <w:sz w:val="21"/>
                <w:szCs w:val="21"/>
              </w:rPr>
              <w:t>1</w:t>
            </w:r>
            <w:r w:rsidR="00412235" w:rsidRPr="002464D3">
              <w:rPr>
                <w:rFonts w:ascii="宋体" w:eastAsia="宋体" w:hAnsi="宋体" w:cs="宋体" w:hint="eastAsia"/>
                <w:color w:val="000000" w:themeColor="text1"/>
                <w:sz w:val="21"/>
                <w:szCs w:val="21"/>
              </w:rPr>
              <w:t>500元</w:t>
            </w:r>
          </w:p>
        </w:tc>
        <w:tc>
          <w:tcPr>
            <w:tcW w:w="993" w:type="dxa"/>
            <w:vAlign w:val="center"/>
          </w:tcPr>
          <w:p w14:paraId="04A081E8" w14:textId="77777777" w:rsidR="00412235" w:rsidRPr="002464D3" w:rsidRDefault="00412235" w:rsidP="006A669D">
            <w:pPr>
              <w:spacing w:after="0" w:line="276" w:lineRule="auto"/>
              <w:jc w:val="center"/>
              <w:rPr>
                <w:rFonts w:ascii="宋体" w:eastAsia="宋体" w:hAnsi="宋体" w:cs="宋体"/>
                <w:color w:val="000000" w:themeColor="text1"/>
                <w:sz w:val="21"/>
                <w:szCs w:val="21"/>
              </w:rPr>
            </w:pPr>
            <w:r w:rsidRPr="002464D3">
              <w:rPr>
                <w:rFonts w:ascii="宋体" w:eastAsia="宋体" w:hAnsi="宋体" w:cs="宋体"/>
                <w:color w:val="000000" w:themeColor="text1"/>
                <w:sz w:val="21"/>
                <w:szCs w:val="21"/>
              </w:rPr>
              <w:t>每部位</w:t>
            </w:r>
          </w:p>
        </w:tc>
        <w:tc>
          <w:tcPr>
            <w:tcW w:w="1701" w:type="dxa"/>
            <w:vAlign w:val="center"/>
          </w:tcPr>
          <w:p w14:paraId="1CA444F3" w14:textId="5964B8AE" w:rsidR="00412235" w:rsidRPr="002464D3" w:rsidRDefault="00412235" w:rsidP="006A669D">
            <w:pPr>
              <w:spacing w:after="0" w:line="276" w:lineRule="auto"/>
              <w:jc w:val="cente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取消原</w:t>
            </w:r>
            <w:r w:rsidRPr="004B2240">
              <w:rPr>
                <w:rFonts w:ascii="宋体" w:eastAsia="宋体" w:hAnsi="宋体" w:cs="宋体" w:hint="eastAsia"/>
                <w:color w:val="000000" w:themeColor="text1"/>
                <w:sz w:val="21"/>
                <w:szCs w:val="21"/>
              </w:rPr>
              <w:t>特需</w:t>
            </w:r>
            <w:r>
              <w:rPr>
                <w:rFonts w:ascii="宋体" w:eastAsia="宋体" w:hAnsi="宋体" w:cs="宋体" w:hint="eastAsia"/>
                <w:color w:val="000000" w:themeColor="text1"/>
                <w:sz w:val="21"/>
                <w:szCs w:val="21"/>
              </w:rPr>
              <w:t>项目“</w:t>
            </w:r>
            <w:r w:rsidRPr="004B2240">
              <w:rPr>
                <w:rFonts w:ascii="宋体" w:eastAsia="宋体" w:hAnsi="宋体" w:cs="宋体" w:hint="eastAsia"/>
                <w:color w:val="000000" w:themeColor="text1"/>
                <w:sz w:val="21"/>
                <w:szCs w:val="21"/>
              </w:rPr>
              <w:t>修复整形美容富血小板血浆</w:t>
            </w:r>
            <w:r w:rsidR="00C13F8B">
              <w:rPr>
                <w:rFonts w:ascii="宋体" w:eastAsia="宋体" w:hAnsi="宋体" w:cs="宋体" w:hint="eastAsia"/>
                <w:color w:val="000000" w:themeColor="text1"/>
                <w:sz w:val="21"/>
                <w:szCs w:val="21"/>
              </w:rPr>
              <w:t>注射</w:t>
            </w:r>
            <w:r w:rsidRPr="004B2240">
              <w:rPr>
                <w:rFonts w:ascii="宋体" w:eastAsia="宋体" w:hAnsi="宋体" w:cs="宋体" w:hint="eastAsia"/>
                <w:color w:val="000000" w:themeColor="text1"/>
                <w:sz w:val="21"/>
                <w:szCs w:val="21"/>
              </w:rPr>
              <w:t>术</w:t>
            </w:r>
            <w:r w:rsidR="00C13F8B">
              <w:rPr>
                <w:rFonts w:ascii="宋体" w:eastAsia="宋体" w:hAnsi="宋体" w:cs="宋体" w:hint="eastAsia"/>
                <w:color w:val="000000" w:themeColor="text1"/>
                <w:sz w:val="21"/>
                <w:szCs w:val="21"/>
              </w:rPr>
              <w:t>1</w:t>
            </w:r>
            <w:r w:rsidRPr="004B2240">
              <w:rPr>
                <w:rFonts w:ascii="宋体" w:eastAsia="宋体" w:hAnsi="宋体" w:cs="宋体" w:hint="eastAsia"/>
                <w:color w:val="000000" w:themeColor="text1"/>
                <w:sz w:val="21"/>
                <w:szCs w:val="21"/>
              </w:rPr>
              <w:t>500元/次”</w:t>
            </w:r>
          </w:p>
        </w:tc>
      </w:tr>
    </w:tbl>
    <w:p w14:paraId="48230C44" w14:textId="77777777" w:rsidR="00412235" w:rsidRDefault="00412235">
      <w:pPr>
        <w:spacing w:line="220" w:lineRule="atLeast"/>
        <w:rPr>
          <w:sz w:val="24"/>
          <w:szCs w:val="24"/>
        </w:rPr>
      </w:pPr>
    </w:p>
    <w:p w14:paraId="039A589C" w14:textId="77777777" w:rsidR="00412235" w:rsidRPr="00BA6F02" w:rsidRDefault="00412235" w:rsidP="00412235">
      <w:pPr>
        <w:spacing w:line="220" w:lineRule="atLeast"/>
        <w:rPr>
          <w:sz w:val="24"/>
          <w:szCs w:val="24"/>
        </w:rPr>
      </w:pPr>
      <w:r w:rsidRPr="009E1211">
        <w:rPr>
          <w:rFonts w:hint="eastAsia"/>
          <w:sz w:val="24"/>
          <w:szCs w:val="24"/>
        </w:rPr>
        <w:t>申请部门：医务科</w:t>
      </w:r>
    </w:p>
    <w:tbl>
      <w:tblPr>
        <w:tblStyle w:val="a7"/>
        <w:tblW w:w="0" w:type="auto"/>
        <w:tblLook w:val="04A0" w:firstRow="1" w:lastRow="0" w:firstColumn="1" w:lastColumn="0" w:noHBand="0" w:noVBand="1"/>
      </w:tblPr>
      <w:tblGrid>
        <w:gridCol w:w="1140"/>
        <w:gridCol w:w="2654"/>
        <w:gridCol w:w="1134"/>
        <w:gridCol w:w="1417"/>
        <w:gridCol w:w="2177"/>
      </w:tblGrid>
      <w:tr w:rsidR="00412235" w:rsidRPr="008B3880" w14:paraId="165B5F18" w14:textId="77777777" w:rsidTr="006A669D">
        <w:trPr>
          <w:trHeight w:val="734"/>
        </w:trPr>
        <w:tc>
          <w:tcPr>
            <w:tcW w:w="1140" w:type="dxa"/>
            <w:vAlign w:val="center"/>
          </w:tcPr>
          <w:p w14:paraId="53460C39" w14:textId="77777777" w:rsidR="00412235" w:rsidRPr="008B3880" w:rsidRDefault="00412235" w:rsidP="006A669D">
            <w:pPr>
              <w:spacing w:after="0" w:line="276" w:lineRule="auto"/>
              <w:jc w:val="center"/>
              <w:rPr>
                <w:color w:val="000000" w:themeColor="text1"/>
                <w:sz w:val="24"/>
                <w:szCs w:val="24"/>
              </w:rPr>
            </w:pPr>
            <w:r w:rsidRPr="008B3880">
              <w:rPr>
                <w:color w:val="000000" w:themeColor="text1"/>
                <w:sz w:val="24"/>
                <w:szCs w:val="24"/>
              </w:rPr>
              <w:t>序号</w:t>
            </w:r>
          </w:p>
        </w:tc>
        <w:tc>
          <w:tcPr>
            <w:tcW w:w="2654" w:type="dxa"/>
            <w:vAlign w:val="center"/>
          </w:tcPr>
          <w:p w14:paraId="414FBF59" w14:textId="77777777" w:rsidR="00412235" w:rsidRPr="008B3880" w:rsidRDefault="00412235" w:rsidP="006A669D">
            <w:pPr>
              <w:spacing w:after="0" w:line="276" w:lineRule="auto"/>
              <w:jc w:val="center"/>
              <w:rPr>
                <w:color w:val="000000" w:themeColor="text1"/>
                <w:sz w:val="24"/>
                <w:szCs w:val="24"/>
              </w:rPr>
            </w:pPr>
            <w:r w:rsidRPr="008B3880">
              <w:rPr>
                <w:color w:val="000000" w:themeColor="text1"/>
                <w:sz w:val="24"/>
                <w:szCs w:val="24"/>
              </w:rPr>
              <w:t>项目名称</w:t>
            </w:r>
          </w:p>
        </w:tc>
        <w:tc>
          <w:tcPr>
            <w:tcW w:w="1134" w:type="dxa"/>
            <w:vAlign w:val="center"/>
          </w:tcPr>
          <w:p w14:paraId="2B6C8E9A" w14:textId="77777777" w:rsidR="00412235" w:rsidRPr="008B3880" w:rsidRDefault="00412235" w:rsidP="006A669D">
            <w:pPr>
              <w:spacing w:after="0" w:line="276" w:lineRule="auto"/>
              <w:jc w:val="center"/>
              <w:rPr>
                <w:color w:val="000000" w:themeColor="text1"/>
                <w:sz w:val="24"/>
                <w:szCs w:val="24"/>
              </w:rPr>
            </w:pPr>
            <w:r w:rsidRPr="008B3880">
              <w:rPr>
                <w:rFonts w:hint="eastAsia"/>
                <w:color w:val="000000" w:themeColor="text1"/>
                <w:sz w:val="24"/>
                <w:szCs w:val="24"/>
              </w:rPr>
              <w:t>价格</w:t>
            </w:r>
          </w:p>
        </w:tc>
        <w:tc>
          <w:tcPr>
            <w:tcW w:w="1417" w:type="dxa"/>
            <w:vAlign w:val="center"/>
          </w:tcPr>
          <w:p w14:paraId="7EA7788B" w14:textId="77777777" w:rsidR="00412235" w:rsidRPr="008B3880" w:rsidRDefault="00412235" w:rsidP="006A669D">
            <w:pPr>
              <w:spacing w:after="0" w:line="276" w:lineRule="auto"/>
              <w:jc w:val="center"/>
              <w:rPr>
                <w:color w:val="000000" w:themeColor="text1"/>
                <w:sz w:val="24"/>
                <w:szCs w:val="24"/>
              </w:rPr>
            </w:pPr>
            <w:r w:rsidRPr="008B3880">
              <w:rPr>
                <w:color w:val="000000" w:themeColor="text1"/>
                <w:sz w:val="24"/>
                <w:szCs w:val="24"/>
              </w:rPr>
              <w:t>单位</w:t>
            </w:r>
          </w:p>
        </w:tc>
        <w:tc>
          <w:tcPr>
            <w:tcW w:w="2177" w:type="dxa"/>
            <w:vAlign w:val="center"/>
          </w:tcPr>
          <w:p w14:paraId="79C85B16" w14:textId="77777777" w:rsidR="00412235" w:rsidRPr="008B3880" w:rsidRDefault="00412235" w:rsidP="006A669D">
            <w:pPr>
              <w:spacing w:after="0" w:line="276" w:lineRule="auto"/>
              <w:jc w:val="center"/>
              <w:rPr>
                <w:color w:val="000000" w:themeColor="text1"/>
                <w:sz w:val="24"/>
                <w:szCs w:val="24"/>
              </w:rPr>
            </w:pPr>
            <w:r w:rsidRPr="008B3880">
              <w:rPr>
                <w:color w:val="000000" w:themeColor="text1"/>
                <w:sz w:val="24"/>
                <w:szCs w:val="24"/>
              </w:rPr>
              <w:t>备注</w:t>
            </w:r>
          </w:p>
        </w:tc>
      </w:tr>
      <w:tr w:rsidR="00412235" w:rsidRPr="008B3880" w14:paraId="166EDB12" w14:textId="77777777" w:rsidTr="006A669D">
        <w:trPr>
          <w:trHeight w:val="629"/>
        </w:trPr>
        <w:tc>
          <w:tcPr>
            <w:tcW w:w="1140" w:type="dxa"/>
            <w:vAlign w:val="center"/>
          </w:tcPr>
          <w:p w14:paraId="4A5BD830" w14:textId="77777777" w:rsidR="00412235" w:rsidRPr="008B3880" w:rsidRDefault="00412235" w:rsidP="006A669D">
            <w:pPr>
              <w:spacing w:after="0" w:line="276" w:lineRule="auto"/>
              <w:jc w:val="center"/>
              <w:rPr>
                <w:color w:val="000000" w:themeColor="text1"/>
                <w:sz w:val="24"/>
                <w:szCs w:val="24"/>
              </w:rPr>
            </w:pPr>
            <w:r>
              <w:rPr>
                <w:color w:val="000000" w:themeColor="text1"/>
                <w:sz w:val="24"/>
                <w:szCs w:val="24"/>
              </w:rPr>
              <w:t>1</w:t>
            </w:r>
          </w:p>
        </w:tc>
        <w:tc>
          <w:tcPr>
            <w:tcW w:w="2654" w:type="dxa"/>
            <w:vAlign w:val="center"/>
          </w:tcPr>
          <w:p w14:paraId="40817351" w14:textId="77777777" w:rsidR="00412235" w:rsidRPr="008B3880" w:rsidRDefault="00412235" w:rsidP="006A669D">
            <w:pPr>
              <w:spacing w:after="0" w:line="276" w:lineRule="auto"/>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远程会诊（省外）</w:t>
            </w:r>
          </w:p>
        </w:tc>
        <w:tc>
          <w:tcPr>
            <w:tcW w:w="1134" w:type="dxa"/>
            <w:vAlign w:val="center"/>
          </w:tcPr>
          <w:p w14:paraId="4131C803" w14:textId="77777777" w:rsidR="00412235" w:rsidRPr="008B3880" w:rsidRDefault="00412235" w:rsidP="006A669D">
            <w:pPr>
              <w:spacing w:after="0" w:line="276" w:lineRule="auto"/>
              <w:jc w:val="center"/>
              <w:rPr>
                <w:color w:val="000000" w:themeColor="text1"/>
                <w:sz w:val="24"/>
                <w:szCs w:val="24"/>
              </w:rPr>
            </w:pPr>
            <w:r>
              <w:rPr>
                <w:rFonts w:hint="eastAsia"/>
                <w:color w:val="000000" w:themeColor="text1"/>
                <w:sz w:val="24"/>
                <w:szCs w:val="24"/>
              </w:rPr>
              <w:t>2000</w:t>
            </w:r>
            <w:r>
              <w:rPr>
                <w:rFonts w:hint="eastAsia"/>
                <w:color w:val="000000" w:themeColor="text1"/>
                <w:sz w:val="24"/>
                <w:szCs w:val="24"/>
              </w:rPr>
              <w:t>元</w:t>
            </w:r>
          </w:p>
        </w:tc>
        <w:tc>
          <w:tcPr>
            <w:tcW w:w="1417" w:type="dxa"/>
            <w:vAlign w:val="center"/>
          </w:tcPr>
          <w:p w14:paraId="2DD2EFE9" w14:textId="77777777" w:rsidR="00412235" w:rsidRPr="008B3880" w:rsidRDefault="00412235" w:rsidP="006A669D">
            <w:pPr>
              <w:spacing w:after="0" w:line="276" w:lineRule="auto"/>
              <w:jc w:val="center"/>
              <w:rPr>
                <w:color w:val="000000" w:themeColor="text1"/>
                <w:sz w:val="24"/>
                <w:szCs w:val="24"/>
              </w:rPr>
            </w:pPr>
            <w:r>
              <w:rPr>
                <w:color w:val="000000" w:themeColor="text1"/>
                <w:sz w:val="24"/>
                <w:szCs w:val="24"/>
              </w:rPr>
              <w:t>半小时</w:t>
            </w:r>
          </w:p>
        </w:tc>
        <w:tc>
          <w:tcPr>
            <w:tcW w:w="2177" w:type="dxa"/>
            <w:vAlign w:val="center"/>
          </w:tcPr>
          <w:p w14:paraId="104A88CD" w14:textId="77777777" w:rsidR="00412235" w:rsidRPr="008B3880" w:rsidRDefault="00412235" w:rsidP="006A669D">
            <w:pPr>
              <w:spacing w:after="0" w:line="276" w:lineRule="auto"/>
              <w:jc w:val="both"/>
              <w:rPr>
                <w:rFonts w:ascii="宋体" w:eastAsia="宋体" w:hAnsi="宋体" w:cs="宋体"/>
                <w:color w:val="000000" w:themeColor="text1"/>
                <w:sz w:val="24"/>
                <w:szCs w:val="24"/>
              </w:rPr>
            </w:pPr>
            <w:r w:rsidRPr="00BF7A54">
              <w:rPr>
                <w:rFonts w:ascii="宋体" w:eastAsia="宋体" w:hAnsi="宋体" w:cs="宋体"/>
                <w:color w:val="000000" w:themeColor="text1"/>
                <w:sz w:val="24"/>
                <w:szCs w:val="24"/>
              </w:rPr>
              <w:t>不足</w:t>
            </w:r>
            <w:r w:rsidRPr="00BF7A54">
              <w:rPr>
                <w:rFonts w:ascii="宋体" w:eastAsia="宋体" w:hAnsi="宋体" w:cs="宋体" w:hint="eastAsia"/>
                <w:color w:val="000000" w:themeColor="text1"/>
                <w:sz w:val="24"/>
                <w:szCs w:val="24"/>
              </w:rPr>
              <w:t>30分钟，按30分钟计算</w:t>
            </w:r>
          </w:p>
        </w:tc>
      </w:tr>
      <w:tr w:rsidR="00412235" w:rsidRPr="008B3880" w14:paraId="56CD79A6" w14:textId="77777777" w:rsidTr="006A669D">
        <w:trPr>
          <w:trHeight w:val="822"/>
        </w:trPr>
        <w:tc>
          <w:tcPr>
            <w:tcW w:w="1140" w:type="dxa"/>
            <w:vAlign w:val="center"/>
          </w:tcPr>
          <w:p w14:paraId="35D6F6AA" w14:textId="77777777" w:rsidR="00412235" w:rsidRPr="008B3880" w:rsidRDefault="00412235" w:rsidP="006A669D">
            <w:pPr>
              <w:spacing w:after="0" w:line="276" w:lineRule="auto"/>
              <w:jc w:val="center"/>
              <w:rPr>
                <w:color w:val="000000" w:themeColor="text1"/>
                <w:sz w:val="24"/>
                <w:szCs w:val="24"/>
              </w:rPr>
            </w:pPr>
            <w:r>
              <w:rPr>
                <w:rFonts w:hint="eastAsia"/>
                <w:color w:val="000000" w:themeColor="text1"/>
                <w:sz w:val="24"/>
                <w:szCs w:val="24"/>
              </w:rPr>
              <w:t>2</w:t>
            </w:r>
          </w:p>
        </w:tc>
        <w:tc>
          <w:tcPr>
            <w:tcW w:w="2654" w:type="dxa"/>
            <w:vAlign w:val="center"/>
          </w:tcPr>
          <w:p w14:paraId="12C1A948" w14:textId="77777777" w:rsidR="00412235" w:rsidRPr="008B3880" w:rsidRDefault="00412235" w:rsidP="006A669D">
            <w:pPr>
              <w:spacing w:after="0" w:line="276" w:lineRule="auto"/>
              <w:jc w:val="center"/>
              <w:rPr>
                <w:rFonts w:ascii="宋体" w:eastAsia="宋体" w:hAnsi="宋体" w:cs="宋体"/>
                <w:color w:val="000000" w:themeColor="text1"/>
                <w:sz w:val="24"/>
                <w:szCs w:val="24"/>
              </w:rPr>
            </w:pPr>
            <w:r>
              <w:rPr>
                <w:rFonts w:ascii="宋体" w:eastAsia="宋体" w:hAnsi="宋体" w:cs="宋体"/>
                <w:color w:val="000000" w:themeColor="text1"/>
                <w:sz w:val="24"/>
                <w:szCs w:val="24"/>
              </w:rPr>
              <w:t>远程会诊加收</w:t>
            </w:r>
            <w:r>
              <w:rPr>
                <w:rFonts w:ascii="宋体" w:eastAsia="宋体" w:hAnsi="宋体" w:cs="宋体" w:hint="eastAsia"/>
                <w:color w:val="000000" w:themeColor="text1"/>
                <w:sz w:val="24"/>
                <w:szCs w:val="24"/>
              </w:rPr>
              <w:t>（省外）</w:t>
            </w:r>
          </w:p>
        </w:tc>
        <w:tc>
          <w:tcPr>
            <w:tcW w:w="1134" w:type="dxa"/>
            <w:vAlign w:val="center"/>
          </w:tcPr>
          <w:p w14:paraId="2A87FA9C" w14:textId="77777777" w:rsidR="00412235" w:rsidRPr="008B3880" w:rsidRDefault="00412235" w:rsidP="006A669D">
            <w:pPr>
              <w:spacing w:after="0" w:line="276" w:lineRule="auto"/>
              <w:jc w:val="center"/>
              <w:rPr>
                <w:color w:val="000000" w:themeColor="text1"/>
                <w:sz w:val="24"/>
                <w:szCs w:val="24"/>
              </w:rPr>
            </w:pPr>
            <w:r>
              <w:rPr>
                <w:rFonts w:hint="eastAsia"/>
                <w:color w:val="000000" w:themeColor="text1"/>
                <w:sz w:val="24"/>
                <w:szCs w:val="24"/>
              </w:rPr>
              <w:t>800</w:t>
            </w:r>
            <w:r>
              <w:rPr>
                <w:rFonts w:hint="eastAsia"/>
                <w:color w:val="000000" w:themeColor="text1"/>
                <w:sz w:val="24"/>
                <w:szCs w:val="24"/>
              </w:rPr>
              <w:t>元</w:t>
            </w:r>
          </w:p>
        </w:tc>
        <w:tc>
          <w:tcPr>
            <w:tcW w:w="1417" w:type="dxa"/>
            <w:vAlign w:val="center"/>
          </w:tcPr>
          <w:p w14:paraId="3DA60924" w14:textId="77777777" w:rsidR="00412235" w:rsidRPr="008B3880" w:rsidRDefault="00412235" w:rsidP="006A669D">
            <w:pPr>
              <w:spacing w:after="0" w:line="276" w:lineRule="auto"/>
              <w:jc w:val="center"/>
              <w:rPr>
                <w:color w:val="000000" w:themeColor="text1"/>
                <w:sz w:val="24"/>
                <w:szCs w:val="24"/>
              </w:rPr>
            </w:pPr>
            <w:r>
              <w:rPr>
                <w:color w:val="000000" w:themeColor="text1"/>
                <w:sz w:val="24"/>
                <w:szCs w:val="24"/>
              </w:rPr>
              <w:t>半小时</w:t>
            </w:r>
          </w:p>
        </w:tc>
        <w:tc>
          <w:tcPr>
            <w:tcW w:w="2177" w:type="dxa"/>
            <w:vAlign w:val="center"/>
          </w:tcPr>
          <w:p w14:paraId="25B97515" w14:textId="77777777" w:rsidR="00412235" w:rsidRPr="008B3880" w:rsidRDefault="00412235" w:rsidP="006A669D">
            <w:pPr>
              <w:spacing w:after="0" w:line="276" w:lineRule="auto"/>
              <w:jc w:val="center"/>
              <w:rPr>
                <w:rFonts w:ascii="宋体" w:eastAsia="宋体" w:hAnsi="宋体" w:cs="宋体"/>
                <w:color w:val="000000" w:themeColor="text1"/>
                <w:sz w:val="24"/>
                <w:szCs w:val="24"/>
              </w:rPr>
            </w:pPr>
          </w:p>
        </w:tc>
      </w:tr>
    </w:tbl>
    <w:p w14:paraId="23C0B909" w14:textId="77777777" w:rsidR="0054039B" w:rsidRDefault="0054039B">
      <w:pPr>
        <w:spacing w:after="0" w:line="220" w:lineRule="atLeast"/>
        <w:jc w:val="both"/>
        <w:rPr>
          <w:rFonts w:ascii="宋体" w:eastAsia="宋体" w:hAnsi="宋体" w:cs="宋体"/>
          <w:color w:val="000000" w:themeColor="text1"/>
          <w:sz w:val="21"/>
          <w:szCs w:val="21"/>
        </w:rPr>
      </w:pPr>
    </w:p>
    <w:sectPr w:rsidR="0054039B" w:rsidSect="0054039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98E20A" w14:textId="77777777" w:rsidR="007C4165" w:rsidRDefault="007C4165" w:rsidP="0054039B">
      <w:pPr>
        <w:spacing w:after="0"/>
      </w:pPr>
      <w:r>
        <w:separator/>
      </w:r>
    </w:p>
  </w:endnote>
  <w:endnote w:type="continuationSeparator" w:id="0">
    <w:p w14:paraId="55262FF9" w14:textId="77777777" w:rsidR="007C4165" w:rsidRDefault="007C4165" w:rsidP="005403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C9127B" w14:textId="77777777" w:rsidR="007C4165" w:rsidRDefault="007C4165">
      <w:pPr>
        <w:spacing w:after="0"/>
      </w:pPr>
      <w:r>
        <w:separator/>
      </w:r>
    </w:p>
  </w:footnote>
  <w:footnote w:type="continuationSeparator" w:id="0">
    <w:p w14:paraId="5A918750" w14:textId="77777777" w:rsidR="007C4165" w:rsidRDefault="007C4165">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ZGZkY2JkYzYwMGJkMjgwMmEyZWFjODQ1MzlhOGNlZjcifQ=="/>
  </w:docVars>
  <w:rsids>
    <w:rsidRoot w:val="00D31D50"/>
    <w:rsid w:val="000044C9"/>
    <w:rsid w:val="000215B2"/>
    <w:rsid w:val="00053C85"/>
    <w:rsid w:val="00072FBB"/>
    <w:rsid w:val="00092044"/>
    <w:rsid w:val="000B645D"/>
    <w:rsid w:val="000C6F7C"/>
    <w:rsid w:val="000F7770"/>
    <w:rsid w:val="001515D3"/>
    <w:rsid w:val="00182AFB"/>
    <w:rsid w:val="00191158"/>
    <w:rsid w:val="001B27EC"/>
    <w:rsid w:val="001D241A"/>
    <w:rsid w:val="0022680B"/>
    <w:rsid w:val="00234ADD"/>
    <w:rsid w:val="002464D3"/>
    <w:rsid w:val="00254A98"/>
    <w:rsid w:val="0026381D"/>
    <w:rsid w:val="00294E71"/>
    <w:rsid w:val="002A2770"/>
    <w:rsid w:val="003034A1"/>
    <w:rsid w:val="00312179"/>
    <w:rsid w:val="00323B43"/>
    <w:rsid w:val="0035659A"/>
    <w:rsid w:val="003879B7"/>
    <w:rsid w:val="003B2DDA"/>
    <w:rsid w:val="003B5A28"/>
    <w:rsid w:val="003D37D8"/>
    <w:rsid w:val="003E2F38"/>
    <w:rsid w:val="00412235"/>
    <w:rsid w:val="00426133"/>
    <w:rsid w:val="004358AB"/>
    <w:rsid w:val="00435FFA"/>
    <w:rsid w:val="00475CD7"/>
    <w:rsid w:val="004B260B"/>
    <w:rsid w:val="004B2906"/>
    <w:rsid w:val="004B61DC"/>
    <w:rsid w:val="004C2D35"/>
    <w:rsid w:val="004C4926"/>
    <w:rsid w:val="005069F0"/>
    <w:rsid w:val="00507371"/>
    <w:rsid w:val="00507E40"/>
    <w:rsid w:val="0053748B"/>
    <w:rsid w:val="0054039B"/>
    <w:rsid w:val="00574C05"/>
    <w:rsid w:val="0059422A"/>
    <w:rsid w:val="005E7C50"/>
    <w:rsid w:val="00607529"/>
    <w:rsid w:val="00612CEE"/>
    <w:rsid w:val="006149EF"/>
    <w:rsid w:val="006A1DDE"/>
    <w:rsid w:val="006B7723"/>
    <w:rsid w:val="006C7E8E"/>
    <w:rsid w:val="006D515A"/>
    <w:rsid w:val="006D7D1E"/>
    <w:rsid w:val="007028F5"/>
    <w:rsid w:val="00742181"/>
    <w:rsid w:val="00770DC0"/>
    <w:rsid w:val="00793A9C"/>
    <w:rsid w:val="007B044B"/>
    <w:rsid w:val="007C4165"/>
    <w:rsid w:val="007D08F9"/>
    <w:rsid w:val="007D4EB6"/>
    <w:rsid w:val="007E105B"/>
    <w:rsid w:val="007E134F"/>
    <w:rsid w:val="007F274D"/>
    <w:rsid w:val="00842A51"/>
    <w:rsid w:val="00851771"/>
    <w:rsid w:val="00854BD3"/>
    <w:rsid w:val="00872B9A"/>
    <w:rsid w:val="00894E0D"/>
    <w:rsid w:val="008B730C"/>
    <w:rsid w:val="008B76C2"/>
    <w:rsid w:val="008B7726"/>
    <w:rsid w:val="008E053A"/>
    <w:rsid w:val="008F6CEE"/>
    <w:rsid w:val="0093412E"/>
    <w:rsid w:val="009501FA"/>
    <w:rsid w:val="00970D10"/>
    <w:rsid w:val="00976C17"/>
    <w:rsid w:val="00985538"/>
    <w:rsid w:val="00986587"/>
    <w:rsid w:val="009E1211"/>
    <w:rsid w:val="009E7432"/>
    <w:rsid w:val="00A03324"/>
    <w:rsid w:val="00A359D7"/>
    <w:rsid w:val="00A362CC"/>
    <w:rsid w:val="00A96C4A"/>
    <w:rsid w:val="00AA3F75"/>
    <w:rsid w:val="00AB14DC"/>
    <w:rsid w:val="00AC158F"/>
    <w:rsid w:val="00B161C2"/>
    <w:rsid w:val="00B572B2"/>
    <w:rsid w:val="00BA6F02"/>
    <w:rsid w:val="00BB1457"/>
    <w:rsid w:val="00BC2FD3"/>
    <w:rsid w:val="00C13F8B"/>
    <w:rsid w:val="00C26492"/>
    <w:rsid w:val="00C432ED"/>
    <w:rsid w:val="00C676D7"/>
    <w:rsid w:val="00C80474"/>
    <w:rsid w:val="00C81B03"/>
    <w:rsid w:val="00C91833"/>
    <w:rsid w:val="00CA72C9"/>
    <w:rsid w:val="00CC0CD8"/>
    <w:rsid w:val="00CD056A"/>
    <w:rsid w:val="00CE5675"/>
    <w:rsid w:val="00CE74A1"/>
    <w:rsid w:val="00CF7886"/>
    <w:rsid w:val="00D101CF"/>
    <w:rsid w:val="00D21483"/>
    <w:rsid w:val="00D31D50"/>
    <w:rsid w:val="00D540AC"/>
    <w:rsid w:val="00D67F06"/>
    <w:rsid w:val="00D717AD"/>
    <w:rsid w:val="00D82DA2"/>
    <w:rsid w:val="00DF6197"/>
    <w:rsid w:val="00E1231A"/>
    <w:rsid w:val="00E27440"/>
    <w:rsid w:val="00E36ACD"/>
    <w:rsid w:val="00E54E20"/>
    <w:rsid w:val="00EA190A"/>
    <w:rsid w:val="00EA6BDB"/>
    <w:rsid w:val="00EF563F"/>
    <w:rsid w:val="00F009DB"/>
    <w:rsid w:val="00F22AB3"/>
    <w:rsid w:val="00F30188"/>
    <w:rsid w:val="00F36822"/>
    <w:rsid w:val="00F578A4"/>
    <w:rsid w:val="00F8311C"/>
    <w:rsid w:val="00FC1981"/>
    <w:rsid w:val="00FC1D0B"/>
    <w:rsid w:val="00FE2270"/>
    <w:rsid w:val="00FE5CB9"/>
    <w:rsid w:val="04F31DFA"/>
    <w:rsid w:val="202645B9"/>
    <w:rsid w:val="332C0317"/>
    <w:rsid w:val="3EFD471B"/>
    <w:rsid w:val="4274046D"/>
    <w:rsid w:val="56CB6C30"/>
    <w:rsid w:val="597E0A83"/>
    <w:rsid w:val="7CA677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A3CA57"/>
  <w15:docId w15:val="{228147EC-A7E3-4CDA-B946-9B40FBCED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039B"/>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qFormat/>
    <w:rsid w:val="0054039B"/>
    <w:pPr>
      <w:tabs>
        <w:tab w:val="center" w:pos="4153"/>
        <w:tab w:val="right" w:pos="8306"/>
      </w:tabs>
    </w:pPr>
    <w:rPr>
      <w:sz w:val="18"/>
      <w:szCs w:val="18"/>
    </w:rPr>
  </w:style>
  <w:style w:type="paragraph" w:styleId="a5">
    <w:name w:val="header"/>
    <w:basedOn w:val="a"/>
    <w:link w:val="a6"/>
    <w:uiPriority w:val="99"/>
    <w:semiHidden/>
    <w:unhideWhenUsed/>
    <w:rsid w:val="0054039B"/>
    <w:pPr>
      <w:pBdr>
        <w:bottom w:val="single" w:sz="6" w:space="1" w:color="auto"/>
      </w:pBdr>
      <w:tabs>
        <w:tab w:val="center" w:pos="4153"/>
        <w:tab w:val="right" w:pos="8306"/>
      </w:tabs>
      <w:jc w:val="center"/>
    </w:pPr>
    <w:rPr>
      <w:sz w:val="18"/>
      <w:szCs w:val="18"/>
    </w:rPr>
  </w:style>
  <w:style w:type="table" w:styleId="a7">
    <w:name w:val="Table Grid"/>
    <w:basedOn w:val="a1"/>
    <w:uiPriority w:val="59"/>
    <w:rsid w:val="00540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sid w:val="0054039B"/>
    <w:rPr>
      <w:rFonts w:ascii="Tahoma" w:hAnsi="Tahoma"/>
      <w:sz w:val="18"/>
      <w:szCs w:val="18"/>
    </w:rPr>
  </w:style>
  <w:style w:type="character" w:customStyle="1" w:styleId="a4">
    <w:name w:val="页脚 字符"/>
    <w:basedOn w:val="a0"/>
    <w:link w:val="a3"/>
    <w:uiPriority w:val="99"/>
    <w:semiHidden/>
    <w:rsid w:val="0054039B"/>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35F2CDC-BC63-4A6E-BBCA-9418AE200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179</Words>
  <Characters>1023</Characters>
  <Application>Microsoft Office Word</Application>
  <DocSecurity>0</DocSecurity>
  <Lines>8</Lines>
  <Paragraphs>2</Paragraphs>
  <ScaleCrop>false</ScaleCrop>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81</cp:revision>
  <dcterms:created xsi:type="dcterms:W3CDTF">2008-09-11T17:20:00Z</dcterms:created>
  <dcterms:modified xsi:type="dcterms:W3CDTF">2022-11-22T03:13:00Z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4B7CD82F8D724D2C831588324989EFCF</vt:lpwstr>
  </property>
</Properties>
</file>