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99" w:rsidRDefault="00986BA0">
      <w:pPr>
        <w:spacing w:line="360" w:lineRule="auto"/>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浙江省肺部肿瘤诊治技术研究中心</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负责单位：浙江大学医学院附属邵逸夫医院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主要合作单位：温州医科大学附属第一院，绍兴第二医院，湖州市中心医院，金华市中心医院，丽水市中心医院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其他合作单位：宁波市医疗中心李惠利医院，衢州市人民医院，浙江省台州医院，嘉兴市第二医院，宁波市鄞州人民医院</w:t>
      </w:r>
    </w:p>
    <w:p w:rsidR="00543899" w:rsidRDefault="00543899">
      <w:pPr>
        <w:spacing w:line="360" w:lineRule="auto"/>
        <w:rPr>
          <w:rFonts w:asciiTheme="majorEastAsia" w:eastAsiaTheme="majorEastAsia" w:hAnsiTheme="majorEastAsia"/>
          <w:b/>
          <w:color w:val="000000" w:themeColor="text1"/>
          <w:sz w:val="22"/>
          <w:szCs w:val="22"/>
        </w:rPr>
      </w:pPr>
    </w:p>
    <w:p w:rsidR="00543899" w:rsidRDefault="00986BA0">
      <w:pPr>
        <w:numPr>
          <w:ilvl w:val="0"/>
          <w:numId w:val="1"/>
        </w:numPr>
        <w:spacing w:line="360" w:lineRule="auto"/>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申报内容概述（限1000字）</w:t>
      </w:r>
    </w:p>
    <w:p w:rsidR="00543899" w:rsidRDefault="00986BA0">
      <w:pPr>
        <w:spacing w:line="360" w:lineRule="auto"/>
        <w:ind w:right="-57" w:firstLine="550"/>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肺部肿瘤是严重危害人民生命和健康的常见病，目前国内外肺部肿瘤的发病率和死亡率还在不断上升。肺部肿瘤在城市占男性恶性肿瘤死亡的</w:t>
      </w:r>
      <w:r>
        <w:rPr>
          <w:rFonts w:asciiTheme="majorEastAsia" w:eastAsiaTheme="majorEastAsia" w:hAnsiTheme="majorEastAsia"/>
          <w:bCs/>
          <w:color w:val="000000" w:themeColor="text1"/>
          <w:sz w:val="22"/>
          <w:szCs w:val="22"/>
        </w:rPr>
        <w:t>38.08%,</w:t>
      </w:r>
      <w:r>
        <w:rPr>
          <w:rFonts w:asciiTheme="majorEastAsia" w:eastAsiaTheme="majorEastAsia" w:hAnsiTheme="majorEastAsia" w:hint="eastAsia"/>
          <w:bCs/>
          <w:color w:val="000000" w:themeColor="text1"/>
          <w:sz w:val="22"/>
          <w:szCs w:val="22"/>
        </w:rPr>
        <w:t>女性的</w:t>
      </w:r>
      <w:r>
        <w:rPr>
          <w:rFonts w:asciiTheme="majorEastAsia" w:eastAsiaTheme="majorEastAsia" w:hAnsiTheme="majorEastAsia"/>
          <w:bCs/>
          <w:color w:val="000000" w:themeColor="text1"/>
          <w:sz w:val="22"/>
          <w:szCs w:val="22"/>
        </w:rPr>
        <w:t>16</w:t>
      </w:r>
      <w:r>
        <w:rPr>
          <w:rFonts w:asciiTheme="majorEastAsia" w:eastAsiaTheme="majorEastAsia" w:hAnsiTheme="majorEastAsia" w:hint="eastAsia"/>
          <w:bCs/>
          <w:color w:val="000000" w:themeColor="text1"/>
          <w:sz w:val="22"/>
          <w:szCs w:val="22"/>
        </w:rPr>
        <w:t>％，均居首位。而肺癌等肺部肿瘤的治疗效果近年来虽然随着分子靶向药物、免疫治疗药物、微创手术的开展趋于良好，但一直没有显著提高，总的治愈率仅为</w:t>
      </w:r>
      <w:r>
        <w:rPr>
          <w:rFonts w:asciiTheme="majorEastAsia" w:eastAsiaTheme="majorEastAsia" w:hAnsiTheme="majorEastAsia"/>
          <w:bCs/>
          <w:color w:val="000000" w:themeColor="text1"/>
          <w:sz w:val="22"/>
          <w:szCs w:val="22"/>
        </w:rPr>
        <w:t>10</w:t>
      </w:r>
      <w:r>
        <w:rPr>
          <w:rFonts w:asciiTheme="majorEastAsia" w:eastAsiaTheme="majorEastAsia" w:hAnsiTheme="majorEastAsia" w:hint="eastAsia"/>
          <w:bCs/>
          <w:color w:val="000000" w:themeColor="text1"/>
          <w:sz w:val="22"/>
          <w:szCs w:val="22"/>
        </w:rPr>
        <w:t>％左右，其原因一方面由于其生物学特性十分复杂、恶性程度高且多药耐药;另一方面关键还在</w:t>
      </w:r>
      <w:r>
        <w:rPr>
          <w:rFonts w:asciiTheme="majorEastAsia" w:eastAsiaTheme="majorEastAsia" w:hAnsiTheme="majorEastAsia"/>
          <w:bCs/>
          <w:color w:val="000000" w:themeColor="text1"/>
          <w:sz w:val="22"/>
          <w:szCs w:val="22"/>
        </w:rPr>
        <w:t>80</w:t>
      </w:r>
      <w:r>
        <w:rPr>
          <w:rFonts w:asciiTheme="majorEastAsia" w:eastAsiaTheme="majorEastAsia" w:hAnsiTheme="majorEastAsia" w:hint="eastAsia"/>
          <w:bCs/>
          <w:color w:val="000000" w:themeColor="text1"/>
          <w:sz w:val="22"/>
          <w:szCs w:val="22"/>
        </w:rPr>
        <w:t>％以上的肺部肿瘤在确诊时已属晚期，而早期诊断是提高治愈率的有效途径;另外，多学科联合协作（MDT）模式应用不足，不规范诊治患者的现象还比较严重。随着“生物医学模式”以“疾病”为中心，以“治愈疾病”为目标，多学科联合协作模式以“病人”为中心,摒弃传统的单学科治疗的模式，更加符合“生物-心理-社会”基本医学模式。</w:t>
      </w:r>
    </w:p>
    <w:p w:rsidR="00543899" w:rsidRDefault="00986BA0" w:rsidP="00094F41">
      <w:pPr>
        <w:spacing w:line="360" w:lineRule="auto"/>
        <w:ind w:right="-57" w:firstLineChars="200" w:firstLine="440"/>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浙江大学医学院附属邵逸夫医院开院初期于早期的Tumor-Board形式，并于2013年2月全院正式成立开展了院级MDT多学科肺</w:t>
      </w:r>
      <w:r>
        <w:rPr>
          <w:rFonts w:asciiTheme="majorEastAsia" w:eastAsiaTheme="majorEastAsia" w:hAnsiTheme="majorEastAsia" w:hint="eastAsia"/>
          <w:color w:val="000000" w:themeColor="text1"/>
          <w:sz w:val="22"/>
          <w:szCs w:val="22"/>
        </w:rPr>
        <w:t>部肿瘤</w:t>
      </w:r>
      <w:r>
        <w:rPr>
          <w:rFonts w:asciiTheme="majorEastAsia" w:eastAsiaTheme="majorEastAsia" w:hAnsiTheme="majorEastAsia" w:hint="eastAsia"/>
          <w:bCs/>
          <w:color w:val="000000" w:themeColor="text1"/>
          <w:sz w:val="22"/>
          <w:szCs w:val="22"/>
        </w:rPr>
        <w:t>诊治团队。通过关注重团队协作，整合多学科（如分子病理、肿瘤内科、胸外科、放疗科、神经外科、骨科、疼痛科、放射科、康复科、病理科等）的技术力量，发挥多学科的交叉优势，在肺部肿瘤的医疗诊治水平达到国内领先、国际先进。目前邵逸夫医院开展的各类手术，</w:t>
      </w:r>
      <w:r>
        <w:rPr>
          <w:rFonts w:asciiTheme="majorEastAsia" w:eastAsiaTheme="majorEastAsia" w:hAnsiTheme="majorEastAsia" w:hint="eastAsia"/>
          <w:bCs/>
          <w:sz w:val="22"/>
          <w:szCs w:val="22"/>
        </w:rPr>
        <w:t>每年肺恶性肿瘤手术超过1200例；各类肺</w:t>
      </w:r>
      <w:r>
        <w:rPr>
          <w:rFonts w:asciiTheme="majorEastAsia" w:eastAsiaTheme="majorEastAsia" w:hAnsiTheme="majorEastAsia" w:hint="eastAsia"/>
          <w:sz w:val="22"/>
          <w:szCs w:val="22"/>
        </w:rPr>
        <w:t>部肿瘤</w:t>
      </w:r>
      <w:r>
        <w:rPr>
          <w:rFonts w:asciiTheme="majorEastAsia" w:eastAsiaTheme="majorEastAsia" w:hAnsiTheme="majorEastAsia" w:hint="eastAsia"/>
          <w:bCs/>
          <w:sz w:val="22"/>
          <w:szCs w:val="22"/>
        </w:rPr>
        <w:t>微创治疗技术，包括：如达芬奇机器人</w:t>
      </w:r>
      <w:r>
        <w:rPr>
          <w:rFonts w:asciiTheme="majorEastAsia" w:eastAsiaTheme="majorEastAsia" w:hAnsiTheme="majorEastAsia" w:hint="eastAsia"/>
          <w:bCs/>
          <w:color w:val="000000" w:themeColor="text1"/>
          <w:sz w:val="22"/>
          <w:szCs w:val="22"/>
        </w:rPr>
        <w:t>手术系统辅助下的肺癌根治手术、胸腔镜下肺癌根治术、CT引导下肺肿瘤的射频消融治疗，人工智能肺结节筛查以及各类肺部肿瘤的介入诊治，气管镜的诊疗技术，病理细胞、组织学的分子病理检测，肺部肿瘤临床药物研究（包括I期至III期），数理医学研究肺结节等已开展的项目均居于国内先进水平。</w:t>
      </w:r>
      <w:r>
        <w:rPr>
          <w:rFonts w:asciiTheme="majorEastAsia" w:eastAsiaTheme="majorEastAsia" w:hAnsiTheme="majorEastAsia" w:hint="eastAsia"/>
          <w:bCs/>
          <w:sz w:val="22"/>
          <w:szCs w:val="22"/>
        </w:rPr>
        <w:t>内科、放疗及介入相关科室每年收治肺部肿瘤出入院病人数超过6000例；</w:t>
      </w:r>
      <w:r>
        <w:rPr>
          <w:rFonts w:asciiTheme="majorEastAsia" w:eastAsiaTheme="majorEastAsia" w:hAnsiTheme="majorEastAsia" w:hint="eastAsia"/>
          <w:bCs/>
          <w:color w:val="000000" w:themeColor="text1"/>
          <w:sz w:val="22"/>
          <w:szCs w:val="22"/>
        </w:rPr>
        <w:t>成功地医治和抢救了数以万计的疑难重危肺部肿瘤患者。肺部肿瘤的早期诊断和多学科治疗、个体化治疗等某些方面居国际先进水平。</w:t>
      </w:r>
    </w:p>
    <w:p w:rsidR="00543899" w:rsidRDefault="00986BA0">
      <w:pPr>
        <w:spacing w:line="360" w:lineRule="auto"/>
        <w:ind w:right="-57" w:firstLine="440"/>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lastRenderedPageBreak/>
        <w:t>邵逸夫医院借助浙江省唯一的 “浙江省创新学科</w:t>
      </w:r>
      <w:r>
        <w:rPr>
          <w:rFonts w:asciiTheme="majorEastAsia" w:eastAsiaTheme="majorEastAsia" w:hAnsiTheme="majorEastAsia"/>
          <w:bCs/>
          <w:color w:val="000000" w:themeColor="text1"/>
          <w:sz w:val="22"/>
          <w:szCs w:val="22"/>
        </w:rPr>
        <w:t>-</w:t>
      </w:r>
      <w:r>
        <w:rPr>
          <w:rFonts w:asciiTheme="majorEastAsia" w:eastAsiaTheme="majorEastAsia" w:hAnsiTheme="majorEastAsia" w:hint="eastAsia"/>
          <w:bCs/>
          <w:color w:val="000000" w:themeColor="text1"/>
          <w:sz w:val="22"/>
          <w:szCs w:val="22"/>
        </w:rPr>
        <w:t>恶性肿瘤个体化诊治学”及“浙江省肿瘤靶向治疗技术指导中心”，依托浙江省内规模最大、设备最完备、开展项目最多、质控最严格的分子病理诊断中心及基因检测中心，省生物治疗重点实验室，国家临床试验药理基地，并与Link公司建立了长期对肺部肿瘤患者跟踪随访的研究系统。</w:t>
      </w:r>
      <w:r>
        <w:rPr>
          <w:rFonts w:asciiTheme="majorEastAsia" w:eastAsiaTheme="majorEastAsia" w:hAnsiTheme="majorEastAsia" w:hint="eastAsia"/>
          <w:bCs/>
          <w:sz w:val="22"/>
          <w:szCs w:val="22"/>
        </w:rPr>
        <w:t>通过联合温州医科大学附属第一院、绍兴第二医院、湖州市中心医院、金华市中心医院、丽水市中心医院等多家医院，</w:t>
      </w:r>
      <w:r>
        <w:rPr>
          <w:rFonts w:asciiTheme="majorEastAsia" w:eastAsiaTheme="majorEastAsia" w:hAnsiTheme="majorEastAsia" w:hint="eastAsia"/>
          <w:bCs/>
          <w:color w:val="000000" w:themeColor="text1"/>
          <w:sz w:val="22"/>
          <w:szCs w:val="22"/>
        </w:rPr>
        <w:t>根据浙江省卫计委DRGS大数据统计，分别代表浙南地区、浙东地区、浙中地区和浙北地区的最高水准的医院。从而建设重大疾病肺部肿瘤的诊治技术创新平台，重点是提高I期肺部肿瘤的早期诊断；提高</w:t>
      </w:r>
      <w:r>
        <w:rPr>
          <w:rFonts w:asciiTheme="majorEastAsia" w:eastAsiaTheme="majorEastAsia" w:hAnsiTheme="majorEastAsia"/>
          <w:bCs/>
          <w:color w:val="000000" w:themeColor="text1"/>
          <w:sz w:val="22"/>
          <w:szCs w:val="22"/>
        </w:rPr>
        <w:t>Ⅱ</w:t>
      </w:r>
      <w:r>
        <w:rPr>
          <w:rFonts w:asciiTheme="majorEastAsia" w:eastAsiaTheme="majorEastAsia" w:hAnsiTheme="majorEastAsia" w:hint="eastAsia"/>
          <w:bCs/>
          <w:color w:val="000000" w:themeColor="text1"/>
          <w:sz w:val="22"/>
          <w:szCs w:val="22"/>
        </w:rPr>
        <w:t>、</w:t>
      </w:r>
      <w:r>
        <w:rPr>
          <w:rFonts w:asciiTheme="majorEastAsia" w:eastAsiaTheme="majorEastAsia" w:hAnsiTheme="majorEastAsia"/>
          <w:bCs/>
          <w:color w:val="000000" w:themeColor="text1"/>
          <w:sz w:val="22"/>
          <w:szCs w:val="22"/>
        </w:rPr>
        <w:t>Ⅲ</w:t>
      </w:r>
      <w:r>
        <w:rPr>
          <w:rFonts w:asciiTheme="majorEastAsia" w:eastAsiaTheme="majorEastAsia" w:hAnsiTheme="majorEastAsia" w:hint="eastAsia"/>
          <w:bCs/>
          <w:color w:val="000000" w:themeColor="text1"/>
          <w:sz w:val="22"/>
          <w:szCs w:val="22"/>
        </w:rPr>
        <w:t>期病人的治愈率；延长IV期患者的PFS和OS，最大限度地改善生活质量，全面提高我省肺部肿瘤领域临床诊治技术水平和获益效果。</w:t>
      </w:r>
    </w:p>
    <w:p w:rsidR="00543899" w:rsidRDefault="00986BA0">
      <w:pPr>
        <w:spacing w:line="360" w:lineRule="auto"/>
        <w:ind w:firstLine="440"/>
        <w:rPr>
          <w:rFonts w:asciiTheme="majorEastAsia" w:eastAsiaTheme="majorEastAsia" w:hAnsiTheme="majorEastAsia"/>
          <w:color w:val="000000" w:themeColor="text1"/>
          <w:sz w:val="22"/>
          <w:szCs w:val="22"/>
        </w:rPr>
      </w:pPr>
      <w:r>
        <w:rPr>
          <w:rFonts w:asciiTheme="majorEastAsia" w:eastAsiaTheme="majorEastAsia" w:hAnsiTheme="majorEastAsia" w:hint="eastAsia"/>
          <w:bCs/>
          <w:sz w:val="22"/>
          <w:szCs w:val="22"/>
        </w:rPr>
        <w:t>在既往已经开设与国内顶级医院（如南京八一医院、上海复旦大学肿瘤医院、中山大学附属肿瘤医院、上海交通大学附属胸科医院</w:t>
      </w:r>
      <w:r>
        <w:rPr>
          <w:rFonts w:asciiTheme="majorEastAsia" w:eastAsiaTheme="majorEastAsia" w:hAnsiTheme="majorEastAsia"/>
          <w:bCs/>
          <w:sz w:val="22"/>
          <w:szCs w:val="22"/>
        </w:rPr>
        <w:t>）</w:t>
      </w:r>
      <w:r>
        <w:rPr>
          <w:rFonts w:asciiTheme="majorEastAsia" w:eastAsiaTheme="majorEastAsia" w:hAnsiTheme="majorEastAsia" w:hint="eastAsia"/>
          <w:bCs/>
          <w:sz w:val="22"/>
          <w:szCs w:val="22"/>
        </w:rPr>
        <w:t>，以及与浙江省多家基层医院（如宁波市医疗中心李惠利医院、衢州市人民医院、浙江省台州医院、绍兴市第二医院、宁波市鄞州人民医院等）视频MDT讨论的基础上，进一步建立整合协同的诊治技术平台。将进一步与国内多家顶级肺癌研究单位（包括广东省人民医院，中国医科院肿瘤医院，上海胸科医院，上海肺科医院及上海中山医院</w:t>
      </w:r>
      <w:r>
        <w:rPr>
          <w:rFonts w:asciiTheme="majorEastAsia" w:eastAsiaTheme="majorEastAsia" w:hAnsiTheme="majorEastAsia"/>
          <w:bCs/>
          <w:sz w:val="22"/>
          <w:szCs w:val="22"/>
        </w:rPr>
        <w:t>）</w:t>
      </w:r>
      <w:r>
        <w:rPr>
          <w:rFonts w:asciiTheme="majorEastAsia" w:eastAsiaTheme="majorEastAsia" w:hAnsiTheme="majorEastAsia" w:hint="eastAsia"/>
          <w:bCs/>
          <w:sz w:val="22"/>
          <w:szCs w:val="22"/>
        </w:rPr>
        <w:t>建立临床科研合作。</w:t>
      </w:r>
      <w:r>
        <w:rPr>
          <w:rFonts w:asciiTheme="majorEastAsia" w:eastAsiaTheme="majorEastAsia" w:hAnsiTheme="majorEastAsia" w:hint="eastAsia"/>
          <w:bCs/>
          <w:color w:val="000000" w:themeColor="text1"/>
          <w:sz w:val="22"/>
          <w:szCs w:val="22"/>
        </w:rPr>
        <w:t>同时借助已经紧密联系的美国</w:t>
      </w:r>
      <w:r>
        <w:rPr>
          <w:rFonts w:asciiTheme="majorEastAsia" w:eastAsiaTheme="majorEastAsia" w:hAnsiTheme="majorEastAsia"/>
          <w:bCs/>
          <w:color w:val="000000" w:themeColor="text1"/>
          <w:sz w:val="22"/>
          <w:szCs w:val="22"/>
        </w:rPr>
        <w:t>Mayo Clinic医疗</w:t>
      </w:r>
      <w:r>
        <w:rPr>
          <w:rFonts w:asciiTheme="majorEastAsia" w:eastAsiaTheme="majorEastAsia" w:hAnsiTheme="majorEastAsia" w:hint="eastAsia"/>
          <w:bCs/>
          <w:color w:val="000000" w:themeColor="text1"/>
          <w:sz w:val="22"/>
          <w:szCs w:val="22"/>
        </w:rPr>
        <w:t>等国际优质资源进行整合，建立远程教育与远程会诊系统，使疑难病症的诊治不出国门就能真正得到国际顶尖专家的全方位会诊。</w:t>
      </w:r>
      <w:r>
        <w:rPr>
          <w:rFonts w:asciiTheme="majorEastAsia" w:eastAsiaTheme="majorEastAsia" w:hAnsiTheme="majorEastAsia"/>
          <w:bCs/>
          <w:color w:val="000000" w:themeColor="text1"/>
          <w:sz w:val="22"/>
          <w:szCs w:val="22"/>
        </w:rPr>
        <w:t>进一步改进和提升</w:t>
      </w:r>
      <w:r>
        <w:rPr>
          <w:rFonts w:asciiTheme="majorEastAsia" w:eastAsiaTheme="majorEastAsia" w:hAnsiTheme="majorEastAsia" w:hint="eastAsia"/>
          <w:bCs/>
          <w:color w:val="000000" w:themeColor="text1"/>
          <w:sz w:val="22"/>
          <w:szCs w:val="22"/>
        </w:rPr>
        <w:t>浙江省肺部肿瘤</w:t>
      </w:r>
      <w:r>
        <w:rPr>
          <w:rFonts w:asciiTheme="majorEastAsia" w:eastAsiaTheme="majorEastAsia" w:hAnsiTheme="majorEastAsia"/>
          <w:bCs/>
          <w:color w:val="000000" w:themeColor="text1"/>
          <w:sz w:val="22"/>
          <w:szCs w:val="22"/>
        </w:rPr>
        <w:t>的诊疗流程和服务水平，为中国百姓提供更高水平的优质医疗服务</w:t>
      </w:r>
      <w:r>
        <w:rPr>
          <w:rFonts w:asciiTheme="majorEastAsia" w:eastAsiaTheme="majorEastAsia" w:hAnsiTheme="majorEastAsia" w:hint="eastAsia"/>
          <w:bCs/>
          <w:color w:val="000000" w:themeColor="text1"/>
          <w:sz w:val="22"/>
          <w:szCs w:val="22"/>
        </w:rPr>
        <w:t>。</w:t>
      </w:r>
    </w:p>
    <w:p w:rsidR="00543899" w:rsidRDefault="00543899">
      <w:pPr>
        <w:spacing w:line="360" w:lineRule="auto"/>
        <w:rPr>
          <w:rFonts w:asciiTheme="majorEastAsia" w:eastAsiaTheme="majorEastAsia" w:hAnsiTheme="majorEastAsia"/>
          <w:color w:val="000000" w:themeColor="text1"/>
          <w:sz w:val="22"/>
          <w:szCs w:val="22"/>
        </w:rPr>
      </w:pPr>
    </w:p>
    <w:sectPr w:rsidR="00543899" w:rsidSect="0054389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83" w:rsidRDefault="00A23B83" w:rsidP="00663387">
      <w:r>
        <w:separator/>
      </w:r>
    </w:p>
  </w:endnote>
  <w:endnote w:type="continuationSeparator" w:id="1">
    <w:p w:rsidR="00A23B83" w:rsidRDefault="00A23B83" w:rsidP="00663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icrosoft YaHei UI Light"/>
    <w:charset w:val="50"/>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83" w:rsidRDefault="00A23B83" w:rsidP="00663387">
      <w:r>
        <w:separator/>
      </w:r>
    </w:p>
  </w:footnote>
  <w:footnote w:type="continuationSeparator" w:id="1">
    <w:p w:rsidR="00A23B83" w:rsidRDefault="00A23B83" w:rsidP="00663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E4C"/>
    <w:multiLevelType w:val="multilevel"/>
    <w:tmpl w:val="13292E4C"/>
    <w:lvl w:ilvl="0">
      <w:start w:val="3"/>
      <w:numFmt w:val="decimal"/>
      <w:lvlText w:val="%1."/>
      <w:lvlJc w:val="left"/>
      <w:pPr>
        <w:ind w:left="1039" w:hanging="360"/>
      </w:pPr>
      <w:rPr>
        <w:rFonts w:hint="default"/>
      </w:rPr>
    </w:lvl>
    <w:lvl w:ilvl="1">
      <w:start w:val="1"/>
      <w:numFmt w:val="lowerLetter"/>
      <w:lvlText w:val="%2)"/>
      <w:lvlJc w:val="left"/>
      <w:pPr>
        <w:ind w:left="1519" w:hanging="420"/>
      </w:pPr>
    </w:lvl>
    <w:lvl w:ilvl="2">
      <w:start w:val="1"/>
      <w:numFmt w:val="lowerRoman"/>
      <w:lvlText w:val="%3."/>
      <w:lvlJc w:val="right"/>
      <w:pPr>
        <w:ind w:left="1939" w:hanging="420"/>
      </w:pPr>
    </w:lvl>
    <w:lvl w:ilvl="3">
      <w:start w:val="1"/>
      <w:numFmt w:val="decimal"/>
      <w:lvlText w:val="%4."/>
      <w:lvlJc w:val="left"/>
      <w:pPr>
        <w:ind w:left="2359" w:hanging="420"/>
      </w:pPr>
    </w:lvl>
    <w:lvl w:ilvl="4">
      <w:start w:val="1"/>
      <w:numFmt w:val="lowerLetter"/>
      <w:lvlText w:val="%5)"/>
      <w:lvlJc w:val="left"/>
      <w:pPr>
        <w:ind w:left="2779" w:hanging="420"/>
      </w:pPr>
    </w:lvl>
    <w:lvl w:ilvl="5">
      <w:start w:val="1"/>
      <w:numFmt w:val="lowerRoman"/>
      <w:lvlText w:val="%6."/>
      <w:lvlJc w:val="right"/>
      <w:pPr>
        <w:ind w:left="3199" w:hanging="420"/>
      </w:pPr>
    </w:lvl>
    <w:lvl w:ilvl="6">
      <w:start w:val="1"/>
      <w:numFmt w:val="decimal"/>
      <w:lvlText w:val="%7."/>
      <w:lvlJc w:val="left"/>
      <w:pPr>
        <w:ind w:left="3619" w:hanging="420"/>
      </w:pPr>
    </w:lvl>
    <w:lvl w:ilvl="7">
      <w:start w:val="1"/>
      <w:numFmt w:val="lowerLetter"/>
      <w:lvlText w:val="%8)"/>
      <w:lvlJc w:val="left"/>
      <w:pPr>
        <w:ind w:left="4039" w:hanging="420"/>
      </w:pPr>
    </w:lvl>
    <w:lvl w:ilvl="8">
      <w:start w:val="1"/>
      <w:numFmt w:val="lowerRoman"/>
      <w:lvlText w:val="%9."/>
      <w:lvlJc w:val="right"/>
      <w:pPr>
        <w:ind w:left="4459" w:hanging="420"/>
      </w:pPr>
    </w:lvl>
  </w:abstractNum>
  <w:abstractNum w:abstractNumId="1">
    <w:nsid w:val="23523CF0"/>
    <w:multiLevelType w:val="multilevel"/>
    <w:tmpl w:val="23523CF0"/>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4AE728A"/>
    <w:multiLevelType w:val="multilevel"/>
    <w:tmpl w:val="24AE728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384132B"/>
    <w:multiLevelType w:val="multilevel"/>
    <w:tmpl w:val="3384132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16E595C"/>
    <w:multiLevelType w:val="multilevel"/>
    <w:tmpl w:val="716E595C"/>
    <w:lvl w:ilvl="0">
      <w:start w:val="1"/>
      <w:numFmt w:val="japaneseCounting"/>
      <w:lvlText w:val="第%1，"/>
      <w:lvlJc w:val="left"/>
      <w:pPr>
        <w:ind w:left="2124" w:hanging="1545"/>
      </w:pPr>
      <w:rPr>
        <w:rFonts w:hint="default"/>
      </w:rPr>
    </w:lvl>
    <w:lvl w:ilvl="1">
      <w:start w:val="1"/>
      <w:numFmt w:val="lowerLetter"/>
      <w:lvlText w:val="%2)"/>
      <w:lvlJc w:val="left"/>
      <w:pPr>
        <w:ind w:left="1419" w:hanging="420"/>
      </w:pPr>
    </w:lvl>
    <w:lvl w:ilvl="2">
      <w:start w:val="1"/>
      <w:numFmt w:val="lowerRoman"/>
      <w:lvlText w:val="%3."/>
      <w:lvlJc w:val="right"/>
      <w:pPr>
        <w:ind w:left="1839" w:hanging="420"/>
      </w:pPr>
    </w:lvl>
    <w:lvl w:ilvl="3">
      <w:start w:val="1"/>
      <w:numFmt w:val="decimal"/>
      <w:lvlText w:val="%4."/>
      <w:lvlJc w:val="left"/>
      <w:pPr>
        <w:ind w:left="2259" w:hanging="420"/>
      </w:pPr>
    </w:lvl>
    <w:lvl w:ilvl="4">
      <w:start w:val="1"/>
      <w:numFmt w:val="lowerLetter"/>
      <w:lvlText w:val="%5)"/>
      <w:lvlJc w:val="left"/>
      <w:pPr>
        <w:ind w:left="2679" w:hanging="420"/>
      </w:pPr>
    </w:lvl>
    <w:lvl w:ilvl="5">
      <w:start w:val="1"/>
      <w:numFmt w:val="lowerRoman"/>
      <w:lvlText w:val="%6."/>
      <w:lvlJc w:val="right"/>
      <w:pPr>
        <w:ind w:left="3099" w:hanging="420"/>
      </w:pPr>
    </w:lvl>
    <w:lvl w:ilvl="6">
      <w:start w:val="1"/>
      <w:numFmt w:val="decimal"/>
      <w:lvlText w:val="%7."/>
      <w:lvlJc w:val="left"/>
      <w:pPr>
        <w:ind w:left="3519" w:hanging="420"/>
      </w:pPr>
    </w:lvl>
    <w:lvl w:ilvl="7">
      <w:start w:val="1"/>
      <w:numFmt w:val="lowerLetter"/>
      <w:lvlText w:val="%8)"/>
      <w:lvlJc w:val="left"/>
      <w:pPr>
        <w:ind w:left="3939" w:hanging="420"/>
      </w:pPr>
    </w:lvl>
    <w:lvl w:ilvl="8">
      <w:start w:val="1"/>
      <w:numFmt w:val="lowerRoman"/>
      <w:lvlText w:val="%9."/>
      <w:lvlJc w:val="right"/>
      <w:pPr>
        <w:ind w:left="4359"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577"/>
    <w:rsid w:val="0003671A"/>
    <w:rsid w:val="00094F41"/>
    <w:rsid w:val="001863B8"/>
    <w:rsid w:val="001F7E41"/>
    <w:rsid w:val="002A2E56"/>
    <w:rsid w:val="0035490B"/>
    <w:rsid w:val="004412E6"/>
    <w:rsid w:val="004424EF"/>
    <w:rsid w:val="00533F1C"/>
    <w:rsid w:val="00543899"/>
    <w:rsid w:val="005B5E61"/>
    <w:rsid w:val="00663387"/>
    <w:rsid w:val="006D1CA2"/>
    <w:rsid w:val="007F1887"/>
    <w:rsid w:val="00895577"/>
    <w:rsid w:val="008E3253"/>
    <w:rsid w:val="00960A6A"/>
    <w:rsid w:val="00986BA0"/>
    <w:rsid w:val="00A15B33"/>
    <w:rsid w:val="00A23B83"/>
    <w:rsid w:val="00AD74A6"/>
    <w:rsid w:val="00AF1C3A"/>
    <w:rsid w:val="00C06CEC"/>
    <w:rsid w:val="00C1040A"/>
    <w:rsid w:val="00C97E07"/>
    <w:rsid w:val="00CB318E"/>
    <w:rsid w:val="00CE4476"/>
    <w:rsid w:val="00EA6E4B"/>
    <w:rsid w:val="00EB716D"/>
    <w:rsid w:val="00EC0D5F"/>
    <w:rsid w:val="00EC3C41"/>
    <w:rsid w:val="00EF0CC7"/>
    <w:rsid w:val="00F23BC3"/>
    <w:rsid w:val="00F615D1"/>
    <w:rsid w:val="07B56C8C"/>
    <w:rsid w:val="0D8D2237"/>
    <w:rsid w:val="0F6C7B6C"/>
    <w:rsid w:val="11FB3B5D"/>
    <w:rsid w:val="127E0792"/>
    <w:rsid w:val="137A04C8"/>
    <w:rsid w:val="18714FD5"/>
    <w:rsid w:val="24151A18"/>
    <w:rsid w:val="283C6940"/>
    <w:rsid w:val="2EF30008"/>
    <w:rsid w:val="308A5336"/>
    <w:rsid w:val="400670A8"/>
    <w:rsid w:val="42095552"/>
    <w:rsid w:val="448D2532"/>
    <w:rsid w:val="460E3CB8"/>
    <w:rsid w:val="4E700003"/>
    <w:rsid w:val="57F92826"/>
    <w:rsid w:val="653E5881"/>
    <w:rsid w:val="66CE057E"/>
    <w:rsid w:val="71E54F8A"/>
    <w:rsid w:val="71FB02BD"/>
    <w:rsid w:val="7B7E5F91"/>
    <w:rsid w:val="7F6A5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3899"/>
    <w:rPr>
      <w:rFonts w:ascii="Heiti SC Light" w:eastAsia="Heiti SC Light"/>
      <w:sz w:val="18"/>
      <w:szCs w:val="18"/>
    </w:rPr>
  </w:style>
  <w:style w:type="paragraph" w:styleId="a4">
    <w:name w:val="footer"/>
    <w:basedOn w:val="a"/>
    <w:uiPriority w:val="99"/>
    <w:semiHidden/>
    <w:unhideWhenUsed/>
    <w:qFormat/>
    <w:rsid w:val="00543899"/>
    <w:pPr>
      <w:tabs>
        <w:tab w:val="center" w:pos="4153"/>
        <w:tab w:val="right" w:pos="8306"/>
      </w:tabs>
      <w:snapToGrid w:val="0"/>
      <w:jc w:val="left"/>
    </w:pPr>
    <w:rPr>
      <w:sz w:val="18"/>
    </w:rPr>
  </w:style>
  <w:style w:type="paragraph" w:styleId="a5">
    <w:name w:val="header"/>
    <w:basedOn w:val="a"/>
    <w:uiPriority w:val="99"/>
    <w:semiHidden/>
    <w:unhideWhenUsed/>
    <w:qFormat/>
    <w:rsid w:val="00543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rsid w:val="00543899"/>
    <w:pPr>
      <w:ind w:firstLineChars="200" w:firstLine="420"/>
    </w:pPr>
    <w:rPr>
      <w:rFonts w:ascii="Calibri" w:hAnsi="Calibri"/>
      <w:szCs w:val="22"/>
    </w:rPr>
  </w:style>
  <w:style w:type="character" w:customStyle="1" w:styleId="Char">
    <w:name w:val="批注框文本 Char"/>
    <w:basedOn w:val="a0"/>
    <w:link w:val="a3"/>
    <w:uiPriority w:val="99"/>
    <w:semiHidden/>
    <w:rsid w:val="00543899"/>
    <w:rPr>
      <w:rFonts w:ascii="Heiti SC Light" w:eastAsia="Heiti SC Light" w:hAnsi="Times New Roman" w:cs="Times New Roman"/>
      <w:sz w:val="18"/>
      <w:szCs w:val="18"/>
    </w:rPr>
  </w:style>
  <w:style w:type="paragraph" w:styleId="a7">
    <w:name w:val="Normal (Web)"/>
    <w:basedOn w:val="a"/>
    <w:uiPriority w:val="99"/>
    <w:unhideWhenUsed/>
    <w:rsid w:val="0003671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248</Words>
  <Characters>1419</Characters>
  <Application>Microsoft Office Word</Application>
  <DocSecurity>0</DocSecurity>
  <Lines>11</Lines>
  <Paragraphs>3</Paragraphs>
  <ScaleCrop>false</ScaleCrop>
  <Company>MS</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apl</dc:creator>
  <cp:lastModifiedBy>USER-</cp:lastModifiedBy>
  <cp:revision>27</cp:revision>
  <dcterms:created xsi:type="dcterms:W3CDTF">2019-08-11T22:36:00Z</dcterms:created>
  <dcterms:modified xsi:type="dcterms:W3CDTF">2019-08-12T08:33:00Z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