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88" w:lineRule="auto"/>
        <w:rPr>
          <w:rFonts w:ascii="黑体" w:hAnsi="黑体" w:eastAsia="黑体"/>
          <w:b/>
          <w:color w:val="FF0000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/>
          <w:b/>
          <w:color w:val="FF0000"/>
          <w:sz w:val="32"/>
          <w:szCs w:val="32"/>
        </w:rPr>
        <w:t>横向项目有关经费政策</w:t>
      </w:r>
    </w:p>
    <w:p>
      <w:pPr>
        <w:adjustRightInd w:val="0"/>
        <w:snapToGrid w:val="0"/>
        <w:spacing w:line="288" w:lineRule="auto"/>
        <w:rPr>
          <w:rFonts w:ascii="黑体" w:hAnsi="黑体" w:eastAsia="黑体"/>
          <w:b/>
          <w:color w:val="FF0000"/>
          <w:sz w:val="32"/>
          <w:szCs w:val="32"/>
        </w:rPr>
      </w:pPr>
    </w:p>
    <w:p>
      <w:pPr>
        <w:pStyle w:val="7"/>
        <w:numPr>
          <w:ilvl w:val="0"/>
          <w:numId w:val="1"/>
        </w:numPr>
        <w:adjustRightInd w:val="0"/>
        <w:snapToGrid w:val="0"/>
        <w:spacing w:line="312" w:lineRule="auto"/>
        <w:ind w:firstLineChars="0"/>
        <w:rPr>
          <w:b/>
          <w:sz w:val="24"/>
          <w:szCs w:val="24"/>
        </w:rPr>
      </w:pPr>
      <w:bookmarkStart w:id="0" w:name="OLE_LINK2"/>
      <w:bookmarkStart w:id="1" w:name="OLE_LINK1"/>
      <w:r>
        <w:rPr>
          <w:rFonts w:hint="eastAsia"/>
          <w:b/>
          <w:sz w:val="24"/>
          <w:szCs w:val="24"/>
        </w:rPr>
        <w:t>管理费：</w:t>
      </w:r>
    </w:p>
    <w:p>
      <w:pPr>
        <w:pStyle w:val="7"/>
        <w:adjustRightInd w:val="0"/>
        <w:snapToGrid w:val="0"/>
        <w:spacing w:line="312" w:lineRule="auto"/>
        <w:ind w:left="3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学校管理费10%；院（系）管理费 2%；水电费 3% （医院从18年开始征收）</w:t>
      </w:r>
    </w:p>
    <w:p>
      <w:pPr>
        <w:adjustRightInd w:val="0"/>
        <w:snapToGrid w:val="0"/>
        <w:spacing w:line="312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（*设备费、外协费可以减提管理费到3%，其中单次外协30万以上的可减提至1%；）</w:t>
      </w:r>
    </w:p>
    <w:p>
      <w:pPr>
        <w:adjustRightInd w:val="0"/>
        <w:snapToGrid w:val="0"/>
        <w:spacing w:line="312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2.劳务费：</w:t>
      </w:r>
    </w:p>
    <w:p>
      <w:pPr>
        <w:adjustRightInd w:val="0"/>
        <w:snapToGrid w:val="0"/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劳务费包括：（1）项目聘用人员和专职科研人员经费（支付给项目聘用的研究人员、科研辅助人员等相关人员的劳务费）；（2）劳务补助 （支付给项目组成人员和参与项目研究的在校研究生、博士后、访问学者的劳务费）。</w:t>
      </w:r>
    </w:p>
    <w:p>
      <w:pPr>
        <w:adjustRightInd w:val="0"/>
        <w:snapToGrid w:val="0"/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根据项目性质，开发不超过55%，咨询、服务不超过65%，其中（2）劳务补助 均不超过40%;转让的劳务费在50-70%之间。</w:t>
      </w:r>
    </w:p>
    <w:p>
      <w:pPr>
        <w:adjustRightInd w:val="0"/>
        <w:snapToGrid w:val="0"/>
        <w:spacing w:line="312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（*从项目经费中领取专家咨询费的人员，不得同时领取劳务费）</w:t>
      </w:r>
    </w:p>
    <w:p>
      <w:pPr>
        <w:adjustRightInd w:val="0"/>
        <w:snapToGrid w:val="0"/>
        <w:spacing w:line="312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3.业务招待费：</w:t>
      </w:r>
    </w:p>
    <w:p>
      <w:pPr>
        <w:adjustRightInd w:val="0"/>
        <w:snapToGrid w:val="0"/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是指在项目实施过程中发生的一定标准的业务招待费用。</w:t>
      </w:r>
    </w:p>
    <w:p>
      <w:pPr>
        <w:adjustRightInd w:val="0"/>
        <w:snapToGrid w:val="0"/>
        <w:spacing w:line="31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根据委托单位性质：</w:t>
      </w:r>
    </w:p>
    <w:p>
      <w:pPr>
        <w:adjustRightInd w:val="0"/>
        <w:snapToGrid w:val="0"/>
        <w:spacing w:line="312" w:lineRule="auto"/>
        <w:ind w:firstLine="638" w:firstLineChars="266"/>
        <w:rPr>
          <w:sz w:val="24"/>
          <w:szCs w:val="24"/>
        </w:rPr>
      </w:pPr>
      <w:r>
        <w:rPr>
          <w:rFonts w:hint="eastAsia"/>
          <w:sz w:val="24"/>
          <w:szCs w:val="24"/>
        </w:rPr>
        <w:t>（1）政府科技合作计划项目：10%；</w:t>
      </w:r>
    </w:p>
    <w:p>
      <w:pPr>
        <w:adjustRightInd w:val="0"/>
        <w:snapToGrid w:val="0"/>
        <w:spacing w:line="312" w:lineRule="auto"/>
        <w:ind w:firstLine="638" w:firstLineChars="266"/>
        <w:rPr>
          <w:sz w:val="24"/>
          <w:szCs w:val="24"/>
        </w:rPr>
      </w:pPr>
      <w:r>
        <w:rPr>
          <w:rFonts w:hint="eastAsia"/>
          <w:sz w:val="24"/>
          <w:szCs w:val="24"/>
        </w:rPr>
        <w:t>（2）各级政府、国有企事业单位：20%；</w:t>
      </w:r>
    </w:p>
    <w:p>
      <w:pPr>
        <w:adjustRightInd w:val="0"/>
        <w:snapToGrid w:val="0"/>
        <w:spacing w:line="312" w:lineRule="auto"/>
        <w:ind w:firstLine="638" w:firstLineChars="266"/>
        <w:rPr>
          <w:sz w:val="24"/>
          <w:szCs w:val="24"/>
        </w:rPr>
      </w:pPr>
      <w:r>
        <w:rPr>
          <w:rFonts w:hint="eastAsia"/>
          <w:sz w:val="24"/>
          <w:szCs w:val="24"/>
        </w:rPr>
        <w:t>（3）其他：30%</w:t>
      </w:r>
    </w:p>
    <w:p>
      <w:pPr>
        <w:adjustRightInd w:val="0"/>
        <w:snapToGrid w:val="0"/>
        <w:spacing w:line="312" w:lineRule="auto"/>
        <w:ind w:firstLine="558" w:firstLineChars="266"/>
        <w:rPr>
          <w:i/>
          <w:szCs w:val="21"/>
        </w:rPr>
      </w:pPr>
      <w:r>
        <w:rPr>
          <w:rFonts w:hint="eastAsia"/>
          <w:i/>
          <w:szCs w:val="21"/>
        </w:rPr>
        <w:t>（*除了以上业务招待费、劳务费、管理水电费和外协费、设备费，横向科研业务费1.中的（1）-（8）栏目经费可打通使用。）</w:t>
      </w:r>
    </w:p>
    <w:bookmarkEnd w:id="0"/>
    <w:bookmarkEnd w:id="1"/>
    <w:p>
      <w:pPr>
        <w:adjustRightInd w:val="0"/>
        <w:snapToGrid w:val="0"/>
        <w:spacing w:line="312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4.结题后结余经费结转/科研预研基金使用：</w:t>
      </w:r>
    </w:p>
    <w:p>
      <w:pPr>
        <w:adjustRightInd w:val="0"/>
        <w:snapToGrid w:val="0"/>
        <w:spacing w:line="312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项目负责人可以在以下</w:t>
      </w:r>
      <w:r>
        <w:rPr>
          <w:rFonts w:hint="eastAsia"/>
          <w:i/>
          <w:sz w:val="24"/>
          <w:szCs w:val="24"/>
        </w:rPr>
        <w:t>两种方式</w:t>
      </w:r>
      <w:r>
        <w:rPr>
          <w:rFonts w:hint="eastAsia"/>
          <w:sz w:val="24"/>
          <w:szCs w:val="24"/>
        </w:rPr>
        <w:t>中择一进行结转：</w:t>
      </w:r>
    </w:p>
    <w:p>
      <w:pPr>
        <w:pStyle w:val="7"/>
        <w:numPr>
          <w:ilvl w:val="0"/>
          <w:numId w:val="2"/>
        </w:numPr>
        <w:adjustRightInd w:val="0"/>
        <w:snapToGrid w:val="0"/>
        <w:spacing w:line="312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学校管理费10%，劳务费60%，科研预研基金30%</w:t>
      </w:r>
    </w:p>
    <w:p>
      <w:pPr>
        <w:pStyle w:val="7"/>
        <w:numPr>
          <w:ilvl w:val="0"/>
          <w:numId w:val="2"/>
        </w:numPr>
        <w:adjustRightInd w:val="0"/>
        <w:snapToGrid w:val="0"/>
        <w:spacing w:line="312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100%转入科研预研基金</w:t>
      </w:r>
    </w:p>
    <w:p>
      <w:pPr>
        <w:adjustRightInd w:val="0"/>
        <w:snapToGrid w:val="0"/>
        <w:spacing w:line="312" w:lineRule="auto"/>
        <w:ind w:left="540"/>
        <w:rPr>
          <w:szCs w:val="21"/>
        </w:rPr>
      </w:pPr>
      <w:r>
        <w:rPr>
          <w:rFonts w:hint="eastAsia"/>
          <w:b/>
          <w:szCs w:val="21"/>
        </w:rPr>
        <w:t>科研预研基金</w:t>
      </w:r>
      <w:r>
        <w:rPr>
          <w:rFonts w:hint="eastAsia"/>
          <w:szCs w:val="21"/>
        </w:rPr>
        <w:t>由院级单位统筹安排，具体管理：</w:t>
      </w:r>
    </w:p>
    <w:p>
      <w:pPr>
        <w:adjustRightInd w:val="0"/>
        <w:snapToGrid w:val="0"/>
        <w:spacing w:line="312" w:lineRule="auto"/>
        <w:rPr>
          <w:szCs w:val="21"/>
        </w:rPr>
      </w:pPr>
      <w:r>
        <w:rPr>
          <w:rFonts w:hint="eastAsia"/>
          <w:szCs w:val="21"/>
        </w:rPr>
        <w:t xml:space="preserve">    项目负责人根据研究需要，按规定向所在院级单位提出使用申请及相关预算；原则上，80%可用于原项目负责人开展对应类型项目的后续研究或全新探索；10%可用于研究生助研津贴发放；10%可用于院级单位统筹组织争取新项目的预研。</w:t>
      </w:r>
    </w:p>
    <w:p>
      <w:pPr>
        <w:adjustRightInd w:val="0"/>
        <w:snapToGrid w:val="0"/>
        <w:spacing w:line="312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5.票据和税费：</w:t>
      </w:r>
    </w:p>
    <w:p>
      <w:pPr>
        <w:adjustRightInd w:val="0"/>
        <w:snapToGrid w:val="0"/>
        <w:spacing w:line="312" w:lineRule="auto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“开发、转让项目”享受免税政策，只能开具增值税普通发票；</w:t>
      </w:r>
    </w:p>
    <w:p>
      <w:pPr>
        <w:adjustRightInd w:val="0"/>
        <w:snapToGrid w:val="0"/>
        <w:spacing w:line="312" w:lineRule="auto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“咨询、服务项目” 应税6%,可以开具增值税普通发票或专用发票。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A7BAF"/>
    <w:multiLevelType w:val="multilevel"/>
    <w:tmpl w:val="2B3A7BAF"/>
    <w:lvl w:ilvl="0" w:tentative="0">
      <w:start w:val="1"/>
      <w:numFmt w:val="decimal"/>
      <w:lvlText w:val="（%1）"/>
      <w:lvlJc w:val="left"/>
      <w:pPr>
        <w:ind w:left="12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5B034A37"/>
    <w:multiLevelType w:val="multilevel"/>
    <w:tmpl w:val="5B034A3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D9"/>
    <w:rsid w:val="000815B2"/>
    <w:rsid w:val="000D5D2B"/>
    <w:rsid w:val="0018043E"/>
    <w:rsid w:val="001877C5"/>
    <w:rsid w:val="001A0054"/>
    <w:rsid w:val="00210F0B"/>
    <w:rsid w:val="00211FC3"/>
    <w:rsid w:val="0022333A"/>
    <w:rsid w:val="00274D84"/>
    <w:rsid w:val="002A4FC7"/>
    <w:rsid w:val="00383FE5"/>
    <w:rsid w:val="003A5E24"/>
    <w:rsid w:val="00484F52"/>
    <w:rsid w:val="004946A0"/>
    <w:rsid w:val="00522FD2"/>
    <w:rsid w:val="005315EA"/>
    <w:rsid w:val="00552E79"/>
    <w:rsid w:val="00554516"/>
    <w:rsid w:val="00563434"/>
    <w:rsid w:val="00586D5D"/>
    <w:rsid w:val="00653292"/>
    <w:rsid w:val="006778EC"/>
    <w:rsid w:val="00685A17"/>
    <w:rsid w:val="006C6D54"/>
    <w:rsid w:val="006D0366"/>
    <w:rsid w:val="00700F87"/>
    <w:rsid w:val="0071049A"/>
    <w:rsid w:val="00780924"/>
    <w:rsid w:val="00781FAA"/>
    <w:rsid w:val="008277C3"/>
    <w:rsid w:val="00947B8D"/>
    <w:rsid w:val="009A1441"/>
    <w:rsid w:val="009C5701"/>
    <w:rsid w:val="00AF26EA"/>
    <w:rsid w:val="00B20FCD"/>
    <w:rsid w:val="00B31501"/>
    <w:rsid w:val="00B573B8"/>
    <w:rsid w:val="00B80DE8"/>
    <w:rsid w:val="00C13C04"/>
    <w:rsid w:val="00C737B0"/>
    <w:rsid w:val="00C75D13"/>
    <w:rsid w:val="00CA034F"/>
    <w:rsid w:val="00D025D9"/>
    <w:rsid w:val="00D75F41"/>
    <w:rsid w:val="00E64A38"/>
    <w:rsid w:val="00EF3368"/>
    <w:rsid w:val="00F353A7"/>
    <w:rsid w:val="00F74D7C"/>
    <w:rsid w:val="125C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0AD566-8F81-41C0-B0F3-D5463A9BE9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646</Characters>
  <Lines>5</Lines>
  <Paragraphs>1</Paragraphs>
  <TotalTime>5</TotalTime>
  <ScaleCrop>false</ScaleCrop>
  <LinksUpToDate>false</LinksUpToDate>
  <CharactersWithSpaces>758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2018-04-17T03:42:00Z</dcterms:created>
  <dc:creator>Dell</dc:creator>
  <cp:lastModifiedBy>ming</cp:lastModifiedBy>
  <cp:lastPrinted>2018-03-06T00:44:00Z</cp:lastPrinted>
  <dcterms:modified xsi:type="dcterms:W3CDTF">2018-10-24T01:46:45Z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